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D291" w14:textId="77777777" w:rsidR="004503DA" w:rsidRDefault="004503DA" w:rsidP="004503DA">
      <w:pPr>
        <w:jc w:val="center"/>
        <w:rPr>
          <w:b/>
          <w:smallCaps/>
          <w:sz w:val="28"/>
          <w:szCs w:val="28"/>
          <w:lang w:val="en-GB"/>
        </w:rPr>
      </w:pPr>
      <w:r>
        <w:rPr>
          <w:b/>
          <w:smallCaps/>
          <w:noProof/>
          <w:sz w:val="28"/>
          <w:szCs w:val="28"/>
        </w:rPr>
        <w:drawing>
          <wp:anchor distT="0" distB="0" distL="114300" distR="114300" simplePos="0" relativeHeight="251659264" behindDoc="1" locked="0" layoutInCell="1" allowOverlap="1" wp14:anchorId="7930106E" wp14:editId="43F3390E">
            <wp:simplePos x="0" y="0"/>
            <wp:positionH relativeFrom="margin">
              <wp:posOffset>57150</wp:posOffset>
            </wp:positionH>
            <wp:positionV relativeFrom="paragraph">
              <wp:posOffset>0</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28"/>
          <w:szCs w:val="28"/>
        </w:rPr>
        <w:drawing>
          <wp:anchor distT="0" distB="0" distL="114300" distR="114300" simplePos="0" relativeHeight="251658240" behindDoc="0" locked="0" layoutInCell="1" allowOverlap="1" wp14:anchorId="64E0B9E8" wp14:editId="1C48E1BC">
            <wp:simplePos x="0" y="0"/>
            <wp:positionH relativeFrom="column">
              <wp:posOffset>5561965</wp:posOffset>
            </wp:positionH>
            <wp:positionV relativeFrom="paragraph">
              <wp:posOffset>-269240</wp:posOffset>
            </wp:positionV>
            <wp:extent cx="6470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D29A" w14:textId="77777777" w:rsidR="004503DA" w:rsidRDefault="004503DA" w:rsidP="004503DA">
      <w:pPr>
        <w:jc w:val="center"/>
        <w:rPr>
          <w:b/>
          <w:smallCaps/>
          <w:sz w:val="28"/>
          <w:szCs w:val="28"/>
          <w:lang w:val="en-GB"/>
        </w:rPr>
      </w:pPr>
    </w:p>
    <w:p w14:paraId="36BC3FB1" w14:textId="02080AAF" w:rsidR="00E3448A" w:rsidRDefault="468716C7" w:rsidP="468716C7">
      <w:pPr>
        <w:rPr>
          <w:b/>
          <w:bCs/>
          <w:smallCaps/>
          <w:sz w:val="28"/>
          <w:szCs w:val="28"/>
          <w:lang w:val="en-GB"/>
        </w:rPr>
      </w:pPr>
      <w:r w:rsidRPr="468716C7">
        <w:rPr>
          <w:b/>
          <w:bCs/>
          <w:smallCaps/>
          <w:sz w:val="28"/>
          <w:szCs w:val="28"/>
          <w:lang w:val="en-GB"/>
        </w:rPr>
        <w:t xml:space="preserve">                                        </w:t>
      </w:r>
      <w:r w:rsidR="00A90747">
        <w:rPr>
          <w:b/>
          <w:bCs/>
          <w:smallCaps/>
          <w:sz w:val="28"/>
          <w:szCs w:val="28"/>
          <w:lang w:val="en-GB"/>
        </w:rPr>
        <w:t>Annual Project Report 201</w:t>
      </w:r>
      <w:r w:rsidR="00504269">
        <w:rPr>
          <w:b/>
          <w:bCs/>
          <w:smallCaps/>
          <w:sz w:val="28"/>
          <w:szCs w:val="28"/>
          <w:lang w:val="en-GB"/>
        </w:rPr>
        <w:t>8</w:t>
      </w:r>
    </w:p>
    <w:p w14:paraId="42C8D217" w14:textId="77777777" w:rsidR="009A0D6F" w:rsidRDefault="009A0D6F" w:rsidP="004503DA">
      <w:pPr>
        <w:rPr>
          <w:b/>
          <w:smallCaps/>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09"/>
        <w:gridCol w:w="1467"/>
        <w:gridCol w:w="1530"/>
        <w:gridCol w:w="121"/>
        <w:gridCol w:w="3119"/>
      </w:tblGrid>
      <w:tr w:rsidR="004503DA" w:rsidRPr="0003763F" w14:paraId="3D018232" w14:textId="77777777" w:rsidTr="468716C7">
        <w:trPr>
          <w:trHeight w:val="548"/>
        </w:trPr>
        <w:tc>
          <w:tcPr>
            <w:tcW w:w="9355" w:type="dxa"/>
            <w:gridSpan w:val="6"/>
            <w:shd w:val="clear" w:color="auto" w:fill="auto"/>
          </w:tcPr>
          <w:p w14:paraId="2D309CF1" w14:textId="46AC0339" w:rsidR="004503DA" w:rsidRPr="009A0D6F" w:rsidRDefault="468716C7" w:rsidP="468716C7">
            <w:pPr>
              <w:spacing w:after="240"/>
              <w:rPr>
                <w:rFonts w:cs="Arial"/>
                <w:b/>
                <w:bCs/>
                <w:sz w:val="20"/>
                <w:szCs w:val="20"/>
              </w:rPr>
            </w:pPr>
            <w:r w:rsidRPr="468716C7">
              <w:rPr>
                <w:rFonts w:cs="Arial"/>
                <w:b/>
                <w:bCs/>
                <w:sz w:val="20"/>
                <w:szCs w:val="20"/>
              </w:rPr>
              <w:t xml:space="preserve">Project title:  </w:t>
            </w:r>
            <w:r w:rsidR="009563D8" w:rsidRPr="009563D8">
              <w:rPr>
                <w:bCs/>
                <w:sz w:val="20"/>
                <w:szCs w:val="20"/>
              </w:rPr>
              <w:t>Mainstreaming global environmental priorities into national policies and programmes</w:t>
            </w:r>
          </w:p>
        </w:tc>
      </w:tr>
      <w:tr w:rsidR="004503DA" w:rsidRPr="009E5D05" w14:paraId="1D98FEB1" w14:textId="77777777" w:rsidTr="468716C7">
        <w:tc>
          <w:tcPr>
            <w:tcW w:w="2509" w:type="dxa"/>
            <w:shd w:val="clear" w:color="auto" w:fill="auto"/>
          </w:tcPr>
          <w:p w14:paraId="7DEC9E4A" w14:textId="77388EC8" w:rsidR="004503DA" w:rsidRPr="009A0D6F" w:rsidRDefault="468716C7" w:rsidP="468716C7">
            <w:pPr>
              <w:spacing w:after="240"/>
              <w:rPr>
                <w:rFonts w:cs="Arial"/>
                <w:b/>
                <w:bCs/>
                <w:sz w:val="20"/>
                <w:szCs w:val="20"/>
              </w:rPr>
            </w:pPr>
            <w:r w:rsidRPr="468716C7">
              <w:rPr>
                <w:rFonts w:cs="Arial"/>
                <w:b/>
                <w:bCs/>
                <w:sz w:val="20"/>
                <w:szCs w:val="20"/>
              </w:rPr>
              <w:t xml:space="preserve">Country:  </w:t>
            </w:r>
            <w:r w:rsidR="009563D8">
              <w:rPr>
                <w:rFonts w:cs="Arial"/>
                <w:bCs/>
                <w:sz w:val="20"/>
                <w:szCs w:val="20"/>
              </w:rPr>
              <w:t>Palau</w:t>
            </w:r>
          </w:p>
        </w:tc>
        <w:tc>
          <w:tcPr>
            <w:tcW w:w="3606" w:type="dxa"/>
            <w:gridSpan w:val="3"/>
            <w:shd w:val="clear" w:color="auto" w:fill="auto"/>
          </w:tcPr>
          <w:p w14:paraId="79816CD3" w14:textId="47B27D01" w:rsidR="004503DA" w:rsidRPr="009A0D6F" w:rsidRDefault="468716C7" w:rsidP="468716C7">
            <w:pPr>
              <w:spacing w:after="240"/>
              <w:rPr>
                <w:rFonts w:cs="Arial"/>
                <w:b/>
                <w:bCs/>
                <w:sz w:val="20"/>
                <w:szCs w:val="20"/>
              </w:rPr>
            </w:pPr>
            <w:r w:rsidRPr="468716C7">
              <w:rPr>
                <w:rFonts w:cs="Arial"/>
                <w:b/>
                <w:bCs/>
                <w:sz w:val="20"/>
                <w:szCs w:val="20"/>
              </w:rPr>
              <w:t xml:space="preserve">Implementing Partner:  </w:t>
            </w:r>
            <w:r w:rsidR="009563D8" w:rsidRPr="009563D8">
              <w:rPr>
                <w:rFonts w:cs="Arial"/>
                <w:bCs/>
                <w:sz w:val="20"/>
                <w:szCs w:val="20"/>
              </w:rPr>
              <w:t>Office of Environmental Response and Coordination (OERC)</w:t>
            </w:r>
          </w:p>
        </w:tc>
        <w:tc>
          <w:tcPr>
            <w:tcW w:w="3240" w:type="dxa"/>
            <w:gridSpan w:val="2"/>
            <w:shd w:val="clear" w:color="auto" w:fill="auto"/>
          </w:tcPr>
          <w:p w14:paraId="7538C2E0" w14:textId="70E46875" w:rsidR="004503DA" w:rsidRPr="009A0D6F" w:rsidRDefault="468716C7" w:rsidP="468716C7">
            <w:pPr>
              <w:spacing w:after="240"/>
              <w:rPr>
                <w:rFonts w:cs="Arial"/>
                <w:i/>
                <w:iCs/>
                <w:sz w:val="20"/>
                <w:szCs w:val="20"/>
                <w:lang w:val="fr-FR"/>
              </w:rPr>
            </w:pPr>
            <w:r w:rsidRPr="468716C7">
              <w:rPr>
                <w:rFonts w:cs="Arial"/>
                <w:b/>
                <w:bCs/>
                <w:sz w:val="20"/>
                <w:szCs w:val="20"/>
                <w:lang w:val="fr-FR"/>
              </w:rPr>
              <w:t xml:space="preserve">Management Arrangements: </w:t>
            </w:r>
            <w:r w:rsidR="00AA5236">
              <w:rPr>
                <w:rFonts w:cs="Arial"/>
                <w:bCs/>
                <w:sz w:val="20"/>
                <w:szCs w:val="20"/>
                <w:lang w:val="fr-FR"/>
              </w:rPr>
              <w:t>N</w:t>
            </w:r>
            <w:r w:rsidR="006F2312" w:rsidRPr="00DB3E5D">
              <w:rPr>
                <w:rFonts w:cs="Arial"/>
                <w:bCs/>
                <w:sz w:val="20"/>
                <w:szCs w:val="20"/>
                <w:lang w:val="fr-FR"/>
              </w:rPr>
              <w:t>IM</w:t>
            </w:r>
          </w:p>
        </w:tc>
      </w:tr>
      <w:tr w:rsidR="004503DA" w:rsidRPr="0003763F" w14:paraId="2D329C82" w14:textId="77777777" w:rsidTr="468716C7">
        <w:tc>
          <w:tcPr>
            <w:tcW w:w="4585" w:type="dxa"/>
            <w:gridSpan w:val="3"/>
            <w:shd w:val="clear" w:color="auto" w:fill="auto"/>
          </w:tcPr>
          <w:p w14:paraId="116F94C2" w14:textId="54452036" w:rsidR="004503DA" w:rsidRPr="009A0D6F" w:rsidRDefault="468716C7" w:rsidP="468716C7">
            <w:pPr>
              <w:spacing w:after="240"/>
              <w:rPr>
                <w:rFonts w:cs="Arial"/>
                <w:sz w:val="20"/>
                <w:szCs w:val="20"/>
                <w:lang w:eastAsia="zh-CN"/>
              </w:rPr>
            </w:pPr>
            <w:r w:rsidRPr="468716C7">
              <w:rPr>
                <w:rFonts w:cs="Arial"/>
                <w:b/>
                <w:bCs/>
                <w:sz w:val="20"/>
                <w:szCs w:val="20"/>
              </w:rPr>
              <w:t xml:space="preserve">Atlas </w:t>
            </w:r>
            <w:r w:rsidRPr="468716C7">
              <w:rPr>
                <w:rFonts w:cs="Arial"/>
                <w:b/>
                <w:bCs/>
                <w:sz w:val="20"/>
                <w:szCs w:val="20"/>
                <w:lang w:eastAsia="zh-CN"/>
              </w:rPr>
              <w:t>Project ID/</w:t>
            </w:r>
            <w:r w:rsidRPr="468716C7">
              <w:rPr>
                <w:rFonts w:cs="Arial"/>
                <w:b/>
                <w:bCs/>
                <w:sz w:val="20"/>
                <w:szCs w:val="20"/>
              </w:rPr>
              <w:t xml:space="preserve">Award ID number:  </w:t>
            </w:r>
            <w:r w:rsidR="009563D8" w:rsidRPr="009563D8">
              <w:rPr>
                <w:rFonts w:cs="Arial"/>
                <w:bCs/>
                <w:sz w:val="20"/>
                <w:szCs w:val="20"/>
              </w:rPr>
              <w:t>00087532</w:t>
            </w:r>
          </w:p>
        </w:tc>
        <w:tc>
          <w:tcPr>
            <w:tcW w:w="4770" w:type="dxa"/>
            <w:gridSpan w:val="3"/>
            <w:shd w:val="clear" w:color="auto" w:fill="auto"/>
          </w:tcPr>
          <w:p w14:paraId="00AAA2C2" w14:textId="0FC9A6D8" w:rsidR="004503DA" w:rsidRPr="009A0D6F" w:rsidRDefault="468716C7" w:rsidP="468716C7">
            <w:pPr>
              <w:spacing w:after="0"/>
              <w:rPr>
                <w:rFonts w:cs="Arial"/>
                <w:b/>
                <w:bCs/>
                <w:sz w:val="20"/>
                <w:szCs w:val="20"/>
              </w:rPr>
            </w:pPr>
            <w:r w:rsidRPr="468716C7">
              <w:rPr>
                <w:rFonts w:cs="Arial"/>
                <w:b/>
                <w:bCs/>
                <w:sz w:val="20"/>
                <w:szCs w:val="20"/>
              </w:rPr>
              <w:t>Atlas O</w:t>
            </w:r>
            <w:r w:rsidRPr="468716C7">
              <w:rPr>
                <w:rFonts w:cs="Arial"/>
                <w:b/>
                <w:bCs/>
                <w:sz w:val="20"/>
                <w:szCs w:val="20"/>
                <w:lang w:eastAsia="zh-CN"/>
              </w:rPr>
              <w:t>utput ID/</w:t>
            </w:r>
            <w:r w:rsidRPr="468716C7">
              <w:rPr>
                <w:rFonts w:cs="Arial"/>
                <w:b/>
                <w:bCs/>
                <w:sz w:val="20"/>
                <w:szCs w:val="20"/>
              </w:rPr>
              <w:t xml:space="preserve">Project ID number:  </w:t>
            </w:r>
            <w:r w:rsidR="009563D8" w:rsidRPr="009563D8">
              <w:rPr>
                <w:rFonts w:cs="Arial"/>
                <w:bCs/>
                <w:sz w:val="20"/>
                <w:szCs w:val="20"/>
              </w:rPr>
              <w:t>00094498</w:t>
            </w:r>
          </w:p>
        </w:tc>
      </w:tr>
      <w:tr w:rsidR="004503DA" w:rsidRPr="0003763F" w14:paraId="753FCE2F" w14:textId="77777777" w:rsidTr="468716C7">
        <w:tc>
          <w:tcPr>
            <w:tcW w:w="4585" w:type="dxa"/>
            <w:gridSpan w:val="3"/>
            <w:shd w:val="clear" w:color="auto" w:fill="auto"/>
          </w:tcPr>
          <w:p w14:paraId="09AAEB44" w14:textId="5A897370" w:rsidR="004503DA" w:rsidRPr="009A0D6F" w:rsidRDefault="468716C7" w:rsidP="468716C7">
            <w:pPr>
              <w:spacing w:after="240"/>
              <w:rPr>
                <w:rFonts w:cs="Arial"/>
                <w:b/>
                <w:bCs/>
                <w:sz w:val="20"/>
                <w:szCs w:val="20"/>
              </w:rPr>
            </w:pPr>
            <w:r w:rsidRPr="468716C7">
              <w:rPr>
                <w:rFonts w:cs="Arial"/>
                <w:b/>
                <w:bCs/>
                <w:sz w:val="20"/>
                <w:szCs w:val="20"/>
              </w:rPr>
              <w:t xml:space="preserve">UNDP-GEF PIMS ID number:  </w:t>
            </w:r>
            <w:r w:rsidR="009563D8">
              <w:rPr>
                <w:rFonts w:cs="Arial"/>
                <w:bCs/>
                <w:sz w:val="20"/>
                <w:szCs w:val="20"/>
              </w:rPr>
              <w:t>5049</w:t>
            </w:r>
          </w:p>
        </w:tc>
        <w:tc>
          <w:tcPr>
            <w:tcW w:w="4770" w:type="dxa"/>
            <w:gridSpan w:val="3"/>
            <w:shd w:val="clear" w:color="auto" w:fill="auto"/>
          </w:tcPr>
          <w:p w14:paraId="7D104BFB" w14:textId="20BE7FCF" w:rsidR="004503DA" w:rsidRPr="009A0D6F" w:rsidRDefault="468716C7" w:rsidP="468716C7">
            <w:pPr>
              <w:spacing w:after="240"/>
              <w:rPr>
                <w:rFonts w:cs="Arial"/>
                <w:b/>
                <w:bCs/>
                <w:sz w:val="20"/>
                <w:szCs w:val="20"/>
              </w:rPr>
            </w:pPr>
            <w:r w:rsidRPr="468716C7">
              <w:rPr>
                <w:rFonts w:cs="Arial"/>
                <w:b/>
                <w:bCs/>
                <w:sz w:val="20"/>
                <w:szCs w:val="20"/>
              </w:rPr>
              <w:t>GEF ID number:</w:t>
            </w:r>
            <w:r w:rsidR="00DB3E5D">
              <w:rPr>
                <w:rFonts w:cs="Arial"/>
                <w:b/>
                <w:bCs/>
                <w:sz w:val="20"/>
                <w:szCs w:val="20"/>
              </w:rPr>
              <w:t xml:space="preserve"> </w:t>
            </w:r>
            <w:r w:rsidR="009563D8">
              <w:rPr>
                <w:rFonts w:cs="Arial"/>
                <w:bCs/>
                <w:sz w:val="20"/>
                <w:szCs w:val="20"/>
              </w:rPr>
              <w:t>5579</w:t>
            </w:r>
          </w:p>
        </w:tc>
      </w:tr>
      <w:tr w:rsidR="004503DA" w:rsidRPr="0003763F" w14:paraId="545B97ED" w14:textId="77777777" w:rsidTr="468716C7">
        <w:trPr>
          <w:trHeight w:val="458"/>
        </w:trPr>
        <w:tc>
          <w:tcPr>
            <w:tcW w:w="4585" w:type="dxa"/>
            <w:gridSpan w:val="3"/>
            <w:vMerge w:val="restart"/>
            <w:shd w:val="clear" w:color="auto" w:fill="auto"/>
          </w:tcPr>
          <w:p w14:paraId="700D31AC" w14:textId="77777777" w:rsidR="006F2312" w:rsidRDefault="468716C7" w:rsidP="468716C7">
            <w:pPr>
              <w:spacing w:after="240"/>
              <w:rPr>
                <w:rFonts w:cs="Arial"/>
                <w:b/>
                <w:bCs/>
                <w:sz w:val="20"/>
                <w:szCs w:val="20"/>
              </w:rPr>
            </w:pPr>
            <w:r w:rsidRPr="468716C7">
              <w:rPr>
                <w:rFonts w:cs="Arial"/>
                <w:b/>
                <w:bCs/>
                <w:sz w:val="20"/>
                <w:szCs w:val="20"/>
              </w:rPr>
              <w:t xml:space="preserve">Project start date (= ProDoc signature date): </w:t>
            </w:r>
          </w:p>
          <w:p w14:paraId="2BD5DC2F" w14:textId="348A5F2C" w:rsidR="004503DA" w:rsidRPr="00DB3E5D" w:rsidRDefault="009563D8" w:rsidP="468716C7">
            <w:pPr>
              <w:spacing w:after="240"/>
              <w:rPr>
                <w:rFonts w:cs="Arial"/>
                <w:bCs/>
                <w:sz w:val="20"/>
                <w:szCs w:val="20"/>
              </w:rPr>
            </w:pPr>
            <w:r>
              <w:rPr>
                <w:rFonts w:cs="Arial"/>
                <w:bCs/>
                <w:sz w:val="20"/>
                <w:szCs w:val="20"/>
              </w:rPr>
              <w:t>7-May-2015</w:t>
            </w:r>
          </w:p>
        </w:tc>
        <w:tc>
          <w:tcPr>
            <w:tcW w:w="4770" w:type="dxa"/>
            <w:gridSpan w:val="3"/>
            <w:shd w:val="clear" w:color="auto" w:fill="auto"/>
          </w:tcPr>
          <w:p w14:paraId="466CBB55" w14:textId="0F143C18" w:rsidR="004503DA" w:rsidRPr="009A0D6F" w:rsidRDefault="006F2312" w:rsidP="468716C7">
            <w:pPr>
              <w:spacing w:after="240"/>
              <w:rPr>
                <w:rFonts w:cs="Arial"/>
                <w:i/>
                <w:iCs/>
                <w:sz w:val="20"/>
                <w:szCs w:val="20"/>
              </w:rPr>
            </w:pPr>
            <w:r>
              <w:rPr>
                <w:rFonts w:cs="Arial"/>
                <w:b/>
                <w:bCs/>
                <w:sz w:val="20"/>
                <w:szCs w:val="20"/>
              </w:rPr>
              <w:t xml:space="preserve">Original </w:t>
            </w:r>
            <w:r w:rsidR="468716C7" w:rsidRPr="468716C7">
              <w:rPr>
                <w:rFonts w:cs="Arial"/>
                <w:b/>
                <w:bCs/>
                <w:sz w:val="20"/>
                <w:szCs w:val="20"/>
              </w:rPr>
              <w:t xml:space="preserve">Planned project closing date:  </w:t>
            </w:r>
            <w:r w:rsidR="009563D8">
              <w:rPr>
                <w:rFonts w:cs="Arial"/>
                <w:bCs/>
                <w:sz w:val="20"/>
                <w:szCs w:val="20"/>
              </w:rPr>
              <w:t>6-May</w:t>
            </w:r>
            <w:r w:rsidR="00AA5236">
              <w:rPr>
                <w:rFonts w:cs="Arial"/>
                <w:bCs/>
                <w:sz w:val="20"/>
                <w:szCs w:val="20"/>
              </w:rPr>
              <w:t>-2018</w:t>
            </w:r>
          </w:p>
        </w:tc>
      </w:tr>
      <w:tr w:rsidR="004503DA" w:rsidRPr="0003763F" w14:paraId="7486B977" w14:textId="77777777" w:rsidTr="468716C7">
        <w:trPr>
          <w:trHeight w:val="305"/>
        </w:trPr>
        <w:tc>
          <w:tcPr>
            <w:tcW w:w="4585" w:type="dxa"/>
            <w:gridSpan w:val="3"/>
            <w:vMerge/>
            <w:shd w:val="clear" w:color="auto" w:fill="auto"/>
          </w:tcPr>
          <w:p w14:paraId="58E03617" w14:textId="77777777" w:rsidR="004503DA" w:rsidRPr="009A0D6F" w:rsidRDefault="004503DA" w:rsidP="004503DA">
            <w:pPr>
              <w:spacing w:after="240"/>
              <w:rPr>
                <w:rFonts w:cs="Arial"/>
                <w:b/>
                <w:sz w:val="20"/>
                <w:szCs w:val="20"/>
              </w:rPr>
            </w:pPr>
          </w:p>
        </w:tc>
        <w:tc>
          <w:tcPr>
            <w:tcW w:w="4770" w:type="dxa"/>
            <w:gridSpan w:val="3"/>
            <w:shd w:val="clear" w:color="auto" w:fill="auto"/>
          </w:tcPr>
          <w:p w14:paraId="2C87E5C6" w14:textId="0A0342C6" w:rsidR="004503DA" w:rsidRPr="009A0D6F" w:rsidRDefault="468716C7" w:rsidP="468716C7">
            <w:pPr>
              <w:spacing w:after="240"/>
              <w:rPr>
                <w:rFonts w:cs="Arial"/>
                <w:b/>
                <w:bCs/>
                <w:sz w:val="20"/>
                <w:szCs w:val="20"/>
              </w:rPr>
            </w:pPr>
            <w:r w:rsidRPr="468716C7">
              <w:rPr>
                <w:rFonts w:cs="Arial"/>
                <w:b/>
                <w:bCs/>
                <w:sz w:val="20"/>
                <w:szCs w:val="20"/>
              </w:rPr>
              <w:t>Revised project closing date:</w:t>
            </w:r>
            <w:r w:rsidR="006F2312">
              <w:rPr>
                <w:rFonts w:cs="Arial"/>
                <w:b/>
                <w:bCs/>
                <w:sz w:val="20"/>
                <w:szCs w:val="20"/>
              </w:rPr>
              <w:t xml:space="preserve"> </w:t>
            </w:r>
            <w:r w:rsidR="00EA4761" w:rsidRPr="00EA4761">
              <w:rPr>
                <w:rFonts w:cs="Arial"/>
                <w:bCs/>
                <w:sz w:val="20"/>
                <w:szCs w:val="20"/>
              </w:rPr>
              <w:t>6 Nov 2019</w:t>
            </w:r>
          </w:p>
        </w:tc>
      </w:tr>
      <w:tr w:rsidR="004503DA" w:rsidRPr="0003763F" w14:paraId="006B62C4" w14:textId="77777777" w:rsidTr="468716C7">
        <w:trPr>
          <w:trHeight w:val="422"/>
        </w:trPr>
        <w:tc>
          <w:tcPr>
            <w:tcW w:w="9355" w:type="dxa"/>
            <w:gridSpan w:val="6"/>
            <w:shd w:val="clear" w:color="auto" w:fill="D0CECE"/>
          </w:tcPr>
          <w:p w14:paraId="6F85F094" w14:textId="77777777" w:rsidR="004503DA" w:rsidRPr="009A0D6F" w:rsidRDefault="468716C7" w:rsidP="468716C7">
            <w:pPr>
              <w:spacing w:after="240"/>
              <w:rPr>
                <w:rFonts w:cs="Segoe UI"/>
                <w:color w:val="000000" w:themeColor="text1"/>
                <w:sz w:val="20"/>
                <w:szCs w:val="20"/>
              </w:rPr>
            </w:pPr>
            <w:r w:rsidRPr="468716C7">
              <w:rPr>
                <w:rFonts w:cs="Arial"/>
                <w:b/>
                <w:bCs/>
                <w:smallCaps/>
                <w:sz w:val="20"/>
                <w:szCs w:val="20"/>
              </w:rPr>
              <w:t>Financing Plan &amp; Expenditures</w:t>
            </w:r>
          </w:p>
        </w:tc>
      </w:tr>
      <w:tr w:rsidR="004503DA" w:rsidRPr="0003763F" w14:paraId="0E7253D1" w14:textId="77777777" w:rsidTr="468716C7">
        <w:tc>
          <w:tcPr>
            <w:tcW w:w="4585" w:type="dxa"/>
            <w:gridSpan w:val="3"/>
            <w:shd w:val="clear" w:color="auto" w:fill="auto"/>
          </w:tcPr>
          <w:p w14:paraId="32B8BC91" w14:textId="483F9303" w:rsidR="004503DA" w:rsidRPr="009A0D6F" w:rsidRDefault="468716C7" w:rsidP="468716C7">
            <w:pPr>
              <w:spacing w:after="240"/>
              <w:rPr>
                <w:rFonts w:cs="Arial"/>
                <w:b/>
                <w:bCs/>
                <w:smallCaps/>
                <w:sz w:val="20"/>
                <w:szCs w:val="20"/>
              </w:rPr>
            </w:pPr>
            <w:r w:rsidRPr="468716C7">
              <w:rPr>
                <w:rFonts w:ascii="Calibri" w:hAnsi="Calibri" w:cs="Calibri"/>
                <w:sz w:val="20"/>
                <w:szCs w:val="20"/>
              </w:rPr>
              <w:t xml:space="preserve">Total GEF Grant (U$S): </w:t>
            </w:r>
            <w:r w:rsidR="009563D8">
              <w:rPr>
                <w:rFonts w:ascii="Calibri" w:hAnsi="Calibri" w:cs="Calibri"/>
                <w:sz w:val="20"/>
                <w:szCs w:val="20"/>
              </w:rPr>
              <w:t>550,000</w:t>
            </w:r>
          </w:p>
        </w:tc>
        <w:tc>
          <w:tcPr>
            <w:tcW w:w="4770" w:type="dxa"/>
            <w:gridSpan w:val="3"/>
            <w:shd w:val="clear" w:color="auto" w:fill="auto"/>
          </w:tcPr>
          <w:p w14:paraId="7426C577" w14:textId="19759031" w:rsidR="004503DA" w:rsidRPr="009A0D6F" w:rsidRDefault="468716C7" w:rsidP="468716C7">
            <w:pPr>
              <w:spacing w:after="240"/>
              <w:rPr>
                <w:rFonts w:cs="Arial"/>
                <w:b/>
                <w:bCs/>
                <w:smallCaps/>
                <w:sz w:val="20"/>
                <w:szCs w:val="20"/>
              </w:rPr>
            </w:pPr>
            <w:r w:rsidRPr="468716C7">
              <w:rPr>
                <w:rFonts w:ascii="Calibri" w:hAnsi="Calibri" w:cs="Calibri"/>
                <w:sz w:val="20"/>
                <w:szCs w:val="20"/>
              </w:rPr>
              <w:t>Total Co-financing (as planned in CEO endorsement request) (U$S):</w:t>
            </w:r>
            <w:r w:rsidR="009563D8">
              <w:rPr>
                <w:rFonts w:ascii="Calibri" w:hAnsi="Calibri" w:cs="Calibri"/>
                <w:sz w:val="20"/>
                <w:szCs w:val="20"/>
              </w:rPr>
              <w:t xml:space="preserve"> 630</w:t>
            </w:r>
            <w:r w:rsidR="00EE00CE">
              <w:rPr>
                <w:rFonts w:ascii="Calibri" w:hAnsi="Calibri" w:cs="Calibri"/>
                <w:sz w:val="20"/>
                <w:szCs w:val="20"/>
              </w:rPr>
              <w:t>,000</w:t>
            </w:r>
          </w:p>
        </w:tc>
      </w:tr>
      <w:tr w:rsidR="004503DA" w:rsidRPr="0003763F" w14:paraId="51C2B837" w14:textId="77777777" w:rsidTr="468716C7">
        <w:tc>
          <w:tcPr>
            <w:tcW w:w="4585" w:type="dxa"/>
            <w:gridSpan w:val="3"/>
            <w:shd w:val="clear" w:color="auto" w:fill="auto"/>
          </w:tcPr>
          <w:p w14:paraId="1317EA08" w14:textId="7877AD6D" w:rsidR="004503DA" w:rsidRPr="009A4503" w:rsidRDefault="00C25D4A" w:rsidP="468716C7">
            <w:pPr>
              <w:spacing w:after="240"/>
              <w:rPr>
                <w:rFonts w:ascii="Calibri" w:hAnsi="Calibri" w:cs="Calibri"/>
                <w:sz w:val="20"/>
                <w:szCs w:val="20"/>
              </w:rPr>
            </w:pPr>
            <w:r w:rsidRPr="009A4503">
              <w:rPr>
                <w:rFonts w:ascii="Calibri" w:hAnsi="Calibri" w:cs="Calibri"/>
                <w:sz w:val="20"/>
                <w:szCs w:val="20"/>
              </w:rPr>
              <w:t>GEF Grant Disbursed as of 14</w:t>
            </w:r>
            <w:r w:rsidR="468716C7" w:rsidRPr="009A4503">
              <w:rPr>
                <w:rFonts w:ascii="Calibri" w:hAnsi="Calibri" w:cs="Calibri"/>
                <w:sz w:val="20"/>
                <w:szCs w:val="20"/>
              </w:rPr>
              <w:t>/</w:t>
            </w:r>
            <w:r w:rsidRPr="009A4503">
              <w:rPr>
                <w:rFonts w:ascii="Calibri" w:hAnsi="Calibri" w:cs="Calibri"/>
                <w:sz w:val="20"/>
                <w:szCs w:val="20"/>
              </w:rPr>
              <w:t>09/2018</w:t>
            </w:r>
            <w:r w:rsidR="468716C7" w:rsidRPr="009A4503">
              <w:rPr>
                <w:rFonts w:ascii="Calibri" w:hAnsi="Calibri" w:cs="Calibri"/>
                <w:sz w:val="20"/>
                <w:szCs w:val="20"/>
              </w:rPr>
              <w:t xml:space="preserve"> (U$S):</w:t>
            </w:r>
          </w:p>
          <w:p w14:paraId="51578CF3" w14:textId="41B0E543" w:rsidR="00C25D4A" w:rsidRPr="009A4503" w:rsidRDefault="00C25D4A" w:rsidP="468716C7">
            <w:pPr>
              <w:spacing w:after="240"/>
              <w:rPr>
                <w:rFonts w:ascii="Calibri" w:hAnsi="Calibri" w:cs="Calibri"/>
                <w:sz w:val="20"/>
                <w:szCs w:val="20"/>
              </w:rPr>
            </w:pPr>
          </w:p>
          <w:p w14:paraId="5306323F" w14:textId="6065782B" w:rsidR="0033209B" w:rsidRPr="009A4503" w:rsidRDefault="0033209B" w:rsidP="468716C7">
            <w:pPr>
              <w:spacing w:after="240"/>
              <w:rPr>
                <w:rFonts w:ascii="Calibri" w:hAnsi="Calibri" w:cs="Calibri"/>
                <w:sz w:val="20"/>
                <w:szCs w:val="20"/>
              </w:rPr>
            </w:pPr>
            <w:r w:rsidRPr="009A4503">
              <w:rPr>
                <w:rFonts w:ascii="Calibri" w:hAnsi="Calibri" w:cs="Calibri"/>
                <w:sz w:val="20"/>
                <w:szCs w:val="20"/>
              </w:rPr>
              <w:t>232,078.36</w:t>
            </w:r>
          </w:p>
        </w:tc>
        <w:tc>
          <w:tcPr>
            <w:tcW w:w="4770" w:type="dxa"/>
            <w:gridSpan w:val="3"/>
            <w:shd w:val="clear" w:color="auto" w:fill="auto"/>
          </w:tcPr>
          <w:p w14:paraId="340B26DE" w14:textId="77777777" w:rsidR="006C1518" w:rsidRPr="009A4503" w:rsidRDefault="468716C7" w:rsidP="468716C7">
            <w:pPr>
              <w:spacing w:after="240"/>
              <w:rPr>
                <w:rFonts w:ascii="Calibri" w:hAnsi="Calibri" w:cs="Calibri"/>
                <w:sz w:val="20"/>
                <w:szCs w:val="20"/>
              </w:rPr>
            </w:pPr>
            <w:r w:rsidRPr="009A4503">
              <w:rPr>
                <w:rFonts w:ascii="Calibri" w:hAnsi="Calibri" w:cs="Calibri"/>
                <w:sz w:val="20"/>
                <w:szCs w:val="20"/>
              </w:rPr>
              <w:t>GEF Grant Annual Expenditures (U$S):</w:t>
            </w:r>
            <w:r w:rsidR="00912D05" w:rsidRPr="009A4503">
              <w:rPr>
                <w:rFonts w:ascii="Calibri" w:hAnsi="Calibri" w:cs="Calibri"/>
                <w:sz w:val="20"/>
                <w:szCs w:val="20"/>
              </w:rPr>
              <w:t xml:space="preserve"> </w:t>
            </w:r>
          </w:p>
          <w:p w14:paraId="00B23BE5" w14:textId="29B1A738" w:rsidR="00EA4761" w:rsidRPr="009A4503" w:rsidRDefault="00EA4761" w:rsidP="468716C7">
            <w:pPr>
              <w:spacing w:after="240"/>
              <w:rPr>
                <w:rFonts w:ascii="Calibri" w:hAnsi="Calibri" w:cs="Calibri"/>
                <w:sz w:val="20"/>
                <w:szCs w:val="20"/>
              </w:rPr>
            </w:pPr>
            <w:r w:rsidRPr="009A4503">
              <w:rPr>
                <w:rFonts w:ascii="Calibri" w:hAnsi="Calibri" w:cs="Calibri"/>
                <w:sz w:val="20"/>
                <w:szCs w:val="20"/>
              </w:rPr>
              <w:t>2015:    29,359.73</w:t>
            </w:r>
          </w:p>
          <w:p w14:paraId="796F68CB" w14:textId="36048DC3" w:rsidR="00EA4761" w:rsidRPr="009A4503" w:rsidRDefault="00EA4761" w:rsidP="468716C7">
            <w:pPr>
              <w:spacing w:after="240"/>
              <w:rPr>
                <w:rFonts w:ascii="Calibri" w:hAnsi="Calibri" w:cs="Calibri"/>
                <w:sz w:val="20"/>
                <w:szCs w:val="20"/>
              </w:rPr>
            </w:pPr>
            <w:r w:rsidRPr="009A4503">
              <w:rPr>
                <w:rFonts w:ascii="Calibri" w:hAnsi="Calibri" w:cs="Calibri"/>
                <w:sz w:val="20"/>
                <w:szCs w:val="20"/>
              </w:rPr>
              <w:t>2016:    94,572.94</w:t>
            </w:r>
          </w:p>
          <w:p w14:paraId="612226CA" w14:textId="77777777" w:rsidR="00EA4761" w:rsidRPr="009A4503" w:rsidRDefault="00EA4761" w:rsidP="468716C7">
            <w:pPr>
              <w:spacing w:after="240"/>
              <w:rPr>
                <w:rFonts w:ascii="Calibri" w:hAnsi="Calibri" w:cs="Calibri"/>
                <w:sz w:val="20"/>
                <w:szCs w:val="20"/>
              </w:rPr>
            </w:pPr>
            <w:r w:rsidRPr="009A4503">
              <w:rPr>
                <w:rFonts w:ascii="Calibri" w:hAnsi="Calibri" w:cs="Calibri"/>
                <w:sz w:val="20"/>
                <w:szCs w:val="20"/>
              </w:rPr>
              <w:t>2017:    90,803.10</w:t>
            </w:r>
          </w:p>
          <w:p w14:paraId="2FC27301" w14:textId="5D237A8F" w:rsidR="00C25D4A" w:rsidRPr="009A4503" w:rsidRDefault="00EA4761" w:rsidP="468716C7">
            <w:pPr>
              <w:spacing w:after="240"/>
              <w:rPr>
                <w:rFonts w:ascii="Calibri" w:hAnsi="Calibri" w:cs="Calibri"/>
                <w:sz w:val="20"/>
                <w:szCs w:val="20"/>
              </w:rPr>
            </w:pPr>
            <w:r w:rsidRPr="009A4503">
              <w:rPr>
                <w:rFonts w:ascii="Calibri" w:hAnsi="Calibri" w:cs="Calibri"/>
                <w:sz w:val="20"/>
                <w:szCs w:val="20"/>
              </w:rPr>
              <w:t>2018:</w:t>
            </w:r>
            <w:r w:rsidR="0033209B" w:rsidRPr="009A4503">
              <w:rPr>
                <w:rFonts w:ascii="Calibri" w:hAnsi="Calibri" w:cs="Calibri"/>
                <w:sz w:val="20"/>
                <w:szCs w:val="20"/>
              </w:rPr>
              <w:t xml:space="preserve">    </w:t>
            </w:r>
            <w:r w:rsidR="00912D05" w:rsidRPr="009A4503">
              <w:rPr>
                <w:rFonts w:ascii="Calibri" w:hAnsi="Calibri" w:cs="Calibri"/>
                <w:sz w:val="20"/>
                <w:szCs w:val="20"/>
              </w:rPr>
              <w:t>17,342.59</w:t>
            </w:r>
          </w:p>
        </w:tc>
      </w:tr>
      <w:tr w:rsidR="009A0D6F" w:rsidRPr="0003763F" w14:paraId="519D9E92" w14:textId="77777777" w:rsidTr="468716C7">
        <w:tc>
          <w:tcPr>
            <w:tcW w:w="9355" w:type="dxa"/>
            <w:gridSpan w:val="6"/>
            <w:shd w:val="clear" w:color="auto" w:fill="D0CECE"/>
          </w:tcPr>
          <w:p w14:paraId="3622016E" w14:textId="2ADEEBAA" w:rsidR="009A0D6F" w:rsidRPr="009A0D6F" w:rsidRDefault="468716C7" w:rsidP="468716C7">
            <w:pPr>
              <w:spacing w:after="240"/>
              <w:rPr>
                <w:rFonts w:ascii="Calibri" w:hAnsi="Calibri" w:cs="Calibri"/>
                <w:sz w:val="20"/>
                <w:szCs w:val="20"/>
              </w:rPr>
            </w:pPr>
            <w:r w:rsidRPr="468716C7">
              <w:rPr>
                <w:rFonts w:ascii="Calibri" w:hAnsi="Calibri" w:cs="Calibri"/>
                <w:b/>
                <w:bCs/>
                <w:sz w:val="20"/>
                <w:szCs w:val="20"/>
              </w:rPr>
              <w:t>Project Contacts and Links</w:t>
            </w:r>
          </w:p>
        </w:tc>
      </w:tr>
      <w:tr w:rsidR="009A0D6F" w:rsidRPr="0003763F" w14:paraId="2F809D95" w14:textId="77777777" w:rsidTr="468716C7">
        <w:tc>
          <w:tcPr>
            <w:tcW w:w="3118" w:type="dxa"/>
            <w:gridSpan w:val="2"/>
            <w:shd w:val="clear" w:color="auto" w:fill="E7E6E6" w:themeFill="background2"/>
          </w:tcPr>
          <w:p w14:paraId="26D91710" w14:textId="77777777" w:rsidR="009A0D6F" w:rsidRPr="009A0D6F" w:rsidRDefault="468716C7" w:rsidP="468716C7">
            <w:pPr>
              <w:rPr>
                <w:b/>
                <w:bCs/>
                <w:i/>
                <w:iCs/>
                <w:sz w:val="20"/>
                <w:szCs w:val="20"/>
              </w:rPr>
            </w:pPr>
            <w:r w:rsidRPr="468716C7">
              <w:rPr>
                <w:b/>
                <w:bCs/>
                <w:i/>
                <w:iCs/>
                <w:sz w:val="20"/>
                <w:szCs w:val="20"/>
              </w:rPr>
              <w:t>Partner</w:t>
            </w:r>
          </w:p>
        </w:tc>
        <w:tc>
          <w:tcPr>
            <w:tcW w:w="3118" w:type="dxa"/>
            <w:gridSpan w:val="3"/>
            <w:shd w:val="clear" w:color="auto" w:fill="E7E6E6" w:themeFill="background2"/>
          </w:tcPr>
          <w:p w14:paraId="71569A59" w14:textId="77777777" w:rsidR="009A0D6F" w:rsidRPr="009A0D6F" w:rsidRDefault="468716C7" w:rsidP="468716C7">
            <w:pPr>
              <w:rPr>
                <w:b/>
                <w:bCs/>
                <w:i/>
                <w:iCs/>
                <w:sz w:val="20"/>
                <w:szCs w:val="20"/>
              </w:rPr>
            </w:pPr>
            <w:r w:rsidRPr="468716C7">
              <w:rPr>
                <w:b/>
                <w:bCs/>
                <w:i/>
                <w:iCs/>
                <w:sz w:val="20"/>
                <w:szCs w:val="20"/>
              </w:rPr>
              <w:t>Contact Name</w:t>
            </w:r>
          </w:p>
        </w:tc>
        <w:tc>
          <w:tcPr>
            <w:tcW w:w="3119" w:type="dxa"/>
            <w:shd w:val="clear" w:color="auto" w:fill="E7E6E6" w:themeFill="background2"/>
          </w:tcPr>
          <w:p w14:paraId="226C4ADC" w14:textId="77777777" w:rsidR="009A0D6F" w:rsidRPr="009A0D6F" w:rsidRDefault="468716C7" w:rsidP="468716C7">
            <w:pPr>
              <w:rPr>
                <w:b/>
                <w:bCs/>
                <w:i/>
                <w:iCs/>
                <w:sz w:val="20"/>
                <w:szCs w:val="20"/>
              </w:rPr>
            </w:pPr>
            <w:r w:rsidRPr="468716C7">
              <w:rPr>
                <w:b/>
                <w:bCs/>
                <w:i/>
                <w:iCs/>
                <w:sz w:val="20"/>
                <w:szCs w:val="20"/>
              </w:rPr>
              <w:t>Email Address</w:t>
            </w:r>
          </w:p>
        </w:tc>
      </w:tr>
      <w:tr w:rsidR="009A0D6F" w:rsidRPr="0003763F" w14:paraId="28A4608C" w14:textId="77777777" w:rsidTr="468716C7">
        <w:tc>
          <w:tcPr>
            <w:tcW w:w="3118" w:type="dxa"/>
            <w:gridSpan w:val="2"/>
            <w:shd w:val="clear" w:color="auto" w:fill="auto"/>
          </w:tcPr>
          <w:p w14:paraId="742A37CA" w14:textId="77777777" w:rsidR="009A0D6F" w:rsidRPr="007A30ED" w:rsidRDefault="468716C7" w:rsidP="468716C7">
            <w:pPr>
              <w:rPr>
                <w:i/>
                <w:iCs/>
                <w:sz w:val="20"/>
                <w:szCs w:val="20"/>
                <w:highlight w:val="green"/>
              </w:rPr>
            </w:pPr>
            <w:r w:rsidRPr="00C5394C">
              <w:rPr>
                <w:rFonts w:ascii="Calibri" w:hAnsi="Calibri" w:cs="Calibri"/>
                <w:i/>
                <w:iCs/>
                <w:sz w:val="20"/>
                <w:szCs w:val="20"/>
              </w:rPr>
              <w:t>Project Coordinator / Manager</w:t>
            </w:r>
          </w:p>
        </w:tc>
        <w:tc>
          <w:tcPr>
            <w:tcW w:w="3118" w:type="dxa"/>
            <w:gridSpan w:val="3"/>
            <w:shd w:val="clear" w:color="auto" w:fill="auto"/>
          </w:tcPr>
          <w:p w14:paraId="12AB3859" w14:textId="43CE518B" w:rsidR="009A0D6F" w:rsidRPr="009A0D6F" w:rsidRDefault="00391DD6" w:rsidP="009A0D6F">
            <w:pPr>
              <w:rPr>
                <w:b/>
                <w:i/>
                <w:sz w:val="20"/>
                <w:szCs w:val="20"/>
              </w:rPr>
            </w:pPr>
            <w:r>
              <w:rPr>
                <w:b/>
                <w:i/>
                <w:sz w:val="20"/>
                <w:szCs w:val="20"/>
              </w:rPr>
              <w:t>Charlene Mersai</w:t>
            </w:r>
          </w:p>
        </w:tc>
        <w:tc>
          <w:tcPr>
            <w:tcW w:w="3119" w:type="dxa"/>
            <w:shd w:val="clear" w:color="auto" w:fill="auto"/>
          </w:tcPr>
          <w:p w14:paraId="4D9D5A77" w14:textId="5D1B0B00" w:rsidR="009A0D6F" w:rsidRPr="009A0D6F" w:rsidRDefault="00391DD6" w:rsidP="009A0D6F">
            <w:pPr>
              <w:rPr>
                <w:b/>
                <w:i/>
                <w:sz w:val="20"/>
                <w:szCs w:val="20"/>
              </w:rPr>
            </w:pPr>
            <w:r>
              <w:rPr>
                <w:b/>
                <w:i/>
                <w:sz w:val="20"/>
                <w:szCs w:val="20"/>
              </w:rPr>
              <w:t>charmersai@gmail.com</w:t>
            </w:r>
          </w:p>
        </w:tc>
      </w:tr>
      <w:tr w:rsidR="009A0D6F" w:rsidRPr="0003763F" w14:paraId="1E6FE8D0" w14:textId="77777777" w:rsidTr="468716C7">
        <w:tc>
          <w:tcPr>
            <w:tcW w:w="3118" w:type="dxa"/>
            <w:gridSpan w:val="2"/>
            <w:shd w:val="clear" w:color="auto" w:fill="auto"/>
          </w:tcPr>
          <w:p w14:paraId="4518A21E" w14:textId="77777777" w:rsidR="009A0D6F" w:rsidRPr="007A30ED" w:rsidRDefault="468716C7" w:rsidP="468716C7">
            <w:pPr>
              <w:rPr>
                <w:i/>
                <w:iCs/>
                <w:sz w:val="20"/>
                <w:szCs w:val="20"/>
                <w:highlight w:val="green"/>
              </w:rPr>
            </w:pPr>
            <w:r w:rsidRPr="009A4503">
              <w:rPr>
                <w:rFonts w:ascii="Calibri" w:hAnsi="Calibri" w:cs="Calibri"/>
                <w:i/>
                <w:iCs/>
                <w:sz w:val="20"/>
                <w:szCs w:val="20"/>
              </w:rPr>
              <w:t>UNDP Country Office Programme Officer</w:t>
            </w:r>
          </w:p>
        </w:tc>
        <w:tc>
          <w:tcPr>
            <w:tcW w:w="3118" w:type="dxa"/>
            <w:gridSpan w:val="3"/>
            <w:shd w:val="clear" w:color="auto" w:fill="auto"/>
          </w:tcPr>
          <w:p w14:paraId="5D1028C5" w14:textId="0F6D42AB" w:rsidR="009A0D6F" w:rsidRPr="009A0D6F" w:rsidRDefault="007A30ED" w:rsidP="009A0D6F">
            <w:pPr>
              <w:rPr>
                <w:b/>
                <w:i/>
                <w:sz w:val="20"/>
                <w:szCs w:val="20"/>
              </w:rPr>
            </w:pPr>
            <w:r>
              <w:rPr>
                <w:b/>
                <w:i/>
                <w:sz w:val="20"/>
                <w:szCs w:val="20"/>
              </w:rPr>
              <w:t>Loraini Sivo</w:t>
            </w:r>
          </w:p>
        </w:tc>
        <w:tc>
          <w:tcPr>
            <w:tcW w:w="3119" w:type="dxa"/>
            <w:shd w:val="clear" w:color="auto" w:fill="auto"/>
          </w:tcPr>
          <w:p w14:paraId="4FF8FF88" w14:textId="3CB90550" w:rsidR="009A0D6F" w:rsidRPr="009A0D6F" w:rsidRDefault="00D0082C" w:rsidP="009A0D6F">
            <w:pPr>
              <w:rPr>
                <w:b/>
                <w:i/>
                <w:sz w:val="20"/>
                <w:szCs w:val="20"/>
              </w:rPr>
            </w:pPr>
            <w:hyperlink r:id="rId10" w:tgtFrame="_blank" w:history="1">
              <w:r w:rsidR="007A30ED">
                <w:rPr>
                  <w:rStyle w:val="Hyperlink"/>
                  <w:rFonts w:ascii="Arial" w:hAnsi="Arial" w:cs="Arial"/>
                  <w:color w:val="1155CC"/>
                  <w:shd w:val="clear" w:color="auto" w:fill="FFFFFF"/>
                </w:rPr>
                <w:t>loraini.sivo@undp.org</w:t>
              </w:r>
            </w:hyperlink>
          </w:p>
        </w:tc>
      </w:tr>
      <w:tr w:rsidR="009A0D6F" w:rsidRPr="0003763F" w14:paraId="720AB828" w14:textId="77777777" w:rsidTr="468716C7">
        <w:tc>
          <w:tcPr>
            <w:tcW w:w="3118" w:type="dxa"/>
            <w:gridSpan w:val="2"/>
            <w:shd w:val="clear" w:color="auto" w:fill="auto"/>
          </w:tcPr>
          <w:p w14:paraId="46433653" w14:textId="77777777" w:rsidR="009A0D6F" w:rsidRPr="00C5394C" w:rsidRDefault="468716C7" w:rsidP="468716C7">
            <w:pPr>
              <w:rPr>
                <w:i/>
                <w:iCs/>
                <w:sz w:val="20"/>
                <w:szCs w:val="20"/>
              </w:rPr>
            </w:pPr>
            <w:r w:rsidRPr="00C5394C">
              <w:rPr>
                <w:rFonts w:ascii="Calibri" w:hAnsi="Calibri" w:cs="Calibri"/>
                <w:i/>
                <w:iCs/>
                <w:sz w:val="20"/>
                <w:szCs w:val="20"/>
              </w:rPr>
              <w:t>Project Implementing Partner</w:t>
            </w:r>
          </w:p>
        </w:tc>
        <w:tc>
          <w:tcPr>
            <w:tcW w:w="3118" w:type="dxa"/>
            <w:gridSpan w:val="3"/>
            <w:shd w:val="clear" w:color="auto" w:fill="auto"/>
          </w:tcPr>
          <w:p w14:paraId="1B87E1ED" w14:textId="0C40B358" w:rsidR="009A0D6F" w:rsidRPr="009A0D6F" w:rsidRDefault="00391DD6" w:rsidP="009A0D6F">
            <w:pPr>
              <w:rPr>
                <w:b/>
                <w:i/>
                <w:sz w:val="20"/>
                <w:szCs w:val="20"/>
              </w:rPr>
            </w:pPr>
            <w:r>
              <w:rPr>
                <w:b/>
                <w:i/>
                <w:sz w:val="20"/>
                <w:szCs w:val="20"/>
              </w:rPr>
              <w:t xml:space="preserve">PALARIS </w:t>
            </w:r>
            <w:r w:rsidRPr="00391DD6">
              <w:rPr>
                <w:sz w:val="20"/>
                <w:szCs w:val="20"/>
              </w:rPr>
              <w:t>(headed by National GIS Analyst, Mr. Dave Idip)</w:t>
            </w:r>
          </w:p>
        </w:tc>
        <w:tc>
          <w:tcPr>
            <w:tcW w:w="3119" w:type="dxa"/>
            <w:shd w:val="clear" w:color="auto" w:fill="auto"/>
          </w:tcPr>
          <w:p w14:paraId="46F2F76C" w14:textId="292CDBE9" w:rsidR="009A0D6F" w:rsidRPr="009A0D6F" w:rsidRDefault="00391DD6" w:rsidP="009A0D6F">
            <w:pPr>
              <w:rPr>
                <w:b/>
                <w:i/>
                <w:sz w:val="20"/>
                <w:szCs w:val="20"/>
              </w:rPr>
            </w:pPr>
            <w:r>
              <w:rPr>
                <w:b/>
                <w:i/>
                <w:sz w:val="20"/>
                <w:szCs w:val="20"/>
              </w:rPr>
              <w:t>didip@gmail.com</w:t>
            </w:r>
          </w:p>
        </w:tc>
      </w:tr>
      <w:tr w:rsidR="009A0D6F" w:rsidRPr="0003763F" w14:paraId="3442AD95" w14:textId="77777777" w:rsidTr="468716C7">
        <w:tc>
          <w:tcPr>
            <w:tcW w:w="3118" w:type="dxa"/>
            <w:gridSpan w:val="2"/>
            <w:shd w:val="clear" w:color="auto" w:fill="auto"/>
          </w:tcPr>
          <w:p w14:paraId="2047D324" w14:textId="77777777" w:rsidR="009A0D6F" w:rsidRPr="00C5394C" w:rsidRDefault="468716C7" w:rsidP="468716C7">
            <w:pPr>
              <w:rPr>
                <w:i/>
                <w:iCs/>
                <w:sz w:val="20"/>
                <w:szCs w:val="20"/>
              </w:rPr>
            </w:pPr>
            <w:r w:rsidRPr="00C5394C">
              <w:rPr>
                <w:rFonts w:ascii="Calibri" w:hAnsi="Calibri" w:cs="Calibri"/>
                <w:i/>
                <w:iCs/>
                <w:sz w:val="20"/>
                <w:szCs w:val="20"/>
              </w:rPr>
              <w:t>GEF Operational Focal Point</w:t>
            </w:r>
          </w:p>
        </w:tc>
        <w:tc>
          <w:tcPr>
            <w:tcW w:w="3118" w:type="dxa"/>
            <w:gridSpan w:val="3"/>
            <w:shd w:val="clear" w:color="auto" w:fill="auto"/>
          </w:tcPr>
          <w:p w14:paraId="7E7BC23F" w14:textId="38FD422D" w:rsidR="009A0D6F" w:rsidRPr="009A0D6F" w:rsidRDefault="00391DD6" w:rsidP="009A0D6F">
            <w:pPr>
              <w:rPr>
                <w:b/>
                <w:i/>
                <w:sz w:val="20"/>
                <w:szCs w:val="20"/>
              </w:rPr>
            </w:pPr>
            <w:r>
              <w:rPr>
                <w:b/>
                <w:i/>
                <w:sz w:val="20"/>
                <w:szCs w:val="20"/>
              </w:rPr>
              <w:t>Mr. King Sam</w:t>
            </w:r>
          </w:p>
        </w:tc>
        <w:tc>
          <w:tcPr>
            <w:tcW w:w="3119" w:type="dxa"/>
            <w:shd w:val="clear" w:color="auto" w:fill="auto"/>
          </w:tcPr>
          <w:p w14:paraId="6CD7F79A" w14:textId="661A04B1" w:rsidR="009A0D6F" w:rsidRPr="009A0D6F" w:rsidRDefault="00391DD6" w:rsidP="009A0D6F">
            <w:pPr>
              <w:rPr>
                <w:b/>
                <w:i/>
                <w:sz w:val="20"/>
                <w:szCs w:val="20"/>
              </w:rPr>
            </w:pPr>
            <w:r>
              <w:rPr>
                <w:b/>
                <w:i/>
                <w:sz w:val="20"/>
                <w:szCs w:val="20"/>
              </w:rPr>
              <w:t>Esuroi1@gmail.com</w:t>
            </w:r>
          </w:p>
        </w:tc>
      </w:tr>
      <w:tr w:rsidR="009A0D6F" w:rsidRPr="0003763F" w14:paraId="1DD0E15C" w14:textId="77777777" w:rsidTr="468716C7">
        <w:tc>
          <w:tcPr>
            <w:tcW w:w="3118" w:type="dxa"/>
            <w:gridSpan w:val="2"/>
            <w:shd w:val="clear" w:color="auto" w:fill="auto"/>
          </w:tcPr>
          <w:p w14:paraId="7D09F07C" w14:textId="77777777" w:rsidR="009A0D6F" w:rsidRPr="00C5394C" w:rsidRDefault="468716C7" w:rsidP="468716C7">
            <w:pPr>
              <w:rPr>
                <w:i/>
                <w:iCs/>
                <w:sz w:val="20"/>
                <w:szCs w:val="20"/>
              </w:rPr>
            </w:pPr>
            <w:r w:rsidRPr="00C5394C">
              <w:rPr>
                <w:rFonts w:ascii="Calibri" w:hAnsi="Calibri" w:cs="Calibri"/>
                <w:i/>
                <w:iCs/>
                <w:sz w:val="20"/>
                <w:szCs w:val="20"/>
              </w:rPr>
              <w:t>Other Partners</w:t>
            </w:r>
          </w:p>
        </w:tc>
        <w:tc>
          <w:tcPr>
            <w:tcW w:w="3118" w:type="dxa"/>
            <w:gridSpan w:val="3"/>
            <w:shd w:val="clear" w:color="auto" w:fill="auto"/>
          </w:tcPr>
          <w:p w14:paraId="0F32EF6B" w14:textId="77777777" w:rsidR="009A0D6F" w:rsidRDefault="00391DD6" w:rsidP="009A0D6F">
            <w:pPr>
              <w:rPr>
                <w:b/>
                <w:i/>
                <w:sz w:val="20"/>
                <w:szCs w:val="20"/>
              </w:rPr>
            </w:pPr>
            <w:r>
              <w:rPr>
                <w:b/>
                <w:i/>
                <w:sz w:val="20"/>
                <w:szCs w:val="20"/>
              </w:rPr>
              <w:t>CB2 Palau Stakeholders</w:t>
            </w:r>
          </w:p>
          <w:p w14:paraId="015BD091" w14:textId="15C8B9A4" w:rsidR="00391DD6" w:rsidRPr="009A0D6F" w:rsidRDefault="00391DD6" w:rsidP="009A0D6F">
            <w:pPr>
              <w:rPr>
                <w:b/>
                <w:i/>
                <w:sz w:val="20"/>
                <w:szCs w:val="20"/>
              </w:rPr>
            </w:pPr>
            <w:r>
              <w:rPr>
                <w:b/>
                <w:i/>
                <w:sz w:val="20"/>
                <w:szCs w:val="20"/>
              </w:rPr>
              <w:lastRenderedPageBreak/>
              <w:t>National Environmental Protection Council (NEPC)</w:t>
            </w:r>
          </w:p>
        </w:tc>
        <w:tc>
          <w:tcPr>
            <w:tcW w:w="3119" w:type="dxa"/>
            <w:shd w:val="clear" w:color="auto" w:fill="auto"/>
          </w:tcPr>
          <w:p w14:paraId="385F9B63" w14:textId="3D25BDD0" w:rsidR="009A0D6F" w:rsidRDefault="00D0082C" w:rsidP="009A0D6F">
            <w:pPr>
              <w:rPr>
                <w:b/>
                <w:i/>
                <w:sz w:val="20"/>
                <w:szCs w:val="20"/>
              </w:rPr>
            </w:pPr>
            <w:hyperlink r:id="rId11" w:history="1">
              <w:r w:rsidR="00391DD6" w:rsidRPr="00827956">
                <w:rPr>
                  <w:rStyle w:val="Hyperlink"/>
                  <w:rFonts w:cstheme="minorBidi"/>
                  <w:b/>
                  <w:i/>
                  <w:sz w:val="20"/>
                  <w:szCs w:val="20"/>
                </w:rPr>
                <w:t>charmersai@gmail.com</w:t>
              </w:r>
            </w:hyperlink>
          </w:p>
          <w:p w14:paraId="3A5D068B" w14:textId="0D0023E7" w:rsidR="00391DD6" w:rsidRPr="00391DD6" w:rsidRDefault="00391DD6" w:rsidP="009A0D6F">
            <w:pPr>
              <w:rPr>
                <w:b/>
                <w:sz w:val="20"/>
                <w:szCs w:val="20"/>
              </w:rPr>
            </w:pPr>
            <w:r>
              <w:rPr>
                <w:b/>
                <w:sz w:val="20"/>
                <w:szCs w:val="20"/>
              </w:rPr>
              <w:lastRenderedPageBreak/>
              <w:t xml:space="preserve">(Charlene is the NEPC Secretariat) </w:t>
            </w:r>
          </w:p>
        </w:tc>
      </w:tr>
      <w:tr w:rsidR="009A0D6F" w:rsidRPr="0003763F" w14:paraId="7AF5F786" w14:textId="77777777" w:rsidTr="468716C7">
        <w:tc>
          <w:tcPr>
            <w:tcW w:w="3118" w:type="dxa"/>
            <w:gridSpan w:val="2"/>
            <w:shd w:val="clear" w:color="auto" w:fill="auto"/>
          </w:tcPr>
          <w:p w14:paraId="716243B6" w14:textId="46D8FD88" w:rsidR="009A0D6F" w:rsidRPr="00C5394C" w:rsidRDefault="468716C7" w:rsidP="468716C7">
            <w:pPr>
              <w:rPr>
                <w:i/>
                <w:iCs/>
                <w:sz w:val="20"/>
                <w:szCs w:val="20"/>
              </w:rPr>
            </w:pPr>
            <w:r w:rsidRPr="00C5394C">
              <w:rPr>
                <w:rFonts w:ascii="Calibri" w:hAnsi="Calibri" w:cs="Calibri"/>
                <w:i/>
                <w:iCs/>
                <w:sz w:val="20"/>
                <w:szCs w:val="20"/>
              </w:rPr>
              <w:lastRenderedPageBreak/>
              <w:t>UNDP Technical Adviser</w:t>
            </w:r>
          </w:p>
        </w:tc>
        <w:tc>
          <w:tcPr>
            <w:tcW w:w="3118" w:type="dxa"/>
            <w:gridSpan w:val="3"/>
            <w:shd w:val="clear" w:color="auto" w:fill="auto"/>
          </w:tcPr>
          <w:p w14:paraId="61CC8D48" w14:textId="77777777" w:rsidR="009A0D6F" w:rsidRPr="009A0D6F" w:rsidRDefault="468716C7" w:rsidP="468716C7">
            <w:pPr>
              <w:rPr>
                <w:i/>
                <w:iCs/>
                <w:sz w:val="20"/>
                <w:szCs w:val="20"/>
              </w:rPr>
            </w:pPr>
            <w:r w:rsidRPr="468716C7">
              <w:rPr>
                <w:i/>
                <w:iCs/>
                <w:sz w:val="20"/>
                <w:szCs w:val="20"/>
              </w:rPr>
              <w:t>Mr. Tom Twining-Ward</w:t>
            </w:r>
          </w:p>
        </w:tc>
        <w:tc>
          <w:tcPr>
            <w:tcW w:w="3119" w:type="dxa"/>
            <w:shd w:val="clear" w:color="auto" w:fill="auto"/>
          </w:tcPr>
          <w:p w14:paraId="7F550035" w14:textId="77777777" w:rsidR="009A0D6F" w:rsidRPr="009A0D6F" w:rsidRDefault="468716C7" w:rsidP="468716C7">
            <w:pPr>
              <w:rPr>
                <w:i/>
                <w:iCs/>
                <w:sz w:val="20"/>
                <w:szCs w:val="20"/>
              </w:rPr>
            </w:pPr>
            <w:r w:rsidRPr="468716C7">
              <w:rPr>
                <w:i/>
                <w:iCs/>
                <w:sz w:val="20"/>
                <w:szCs w:val="20"/>
              </w:rPr>
              <w:t>tom.twining-ward@undp.org</w:t>
            </w:r>
          </w:p>
        </w:tc>
      </w:tr>
      <w:tr w:rsidR="009A0D6F" w:rsidRPr="0003763F" w14:paraId="5F8F10FF" w14:textId="77777777" w:rsidTr="468716C7">
        <w:tc>
          <w:tcPr>
            <w:tcW w:w="3118" w:type="dxa"/>
            <w:gridSpan w:val="2"/>
            <w:shd w:val="clear" w:color="auto" w:fill="auto"/>
          </w:tcPr>
          <w:p w14:paraId="4925BCB3" w14:textId="77777777" w:rsidR="009A0D6F" w:rsidRPr="00C5394C" w:rsidRDefault="468716C7" w:rsidP="468716C7">
            <w:pPr>
              <w:rPr>
                <w:rFonts w:ascii="Calibri" w:hAnsi="Calibri" w:cs="Calibri"/>
                <w:i/>
                <w:iCs/>
                <w:sz w:val="20"/>
                <w:szCs w:val="20"/>
              </w:rPr>
            </w:pPr>
            <w:r w:rsidRPr="00C5394C">
              <w:rPr>
                <w:rFonts w:ascii="Calibri" w:hAnsi="Calibri" w:cs="Calibri"/>
                <w:i/>
                <w:iCs/>
                <w:sz w:val="20"/>
                <w:szCs w:val="20"/>
              </w:rPr>
              <w:t>UNDP Programme Associate</w:t>
            </w:r>
          </w:p>
        </w:tc>
        <w:tc>
          <w:tcPr>
            <w:tcW w:w="3118" w:type="dxa"/>
            <w:gridSpan w:val="3"/>
            <w:shd w:val="clear" w:color="auto" w:fill="auto"/>
          </w:tcPr>
          <w:p w14:paraId="47C503F5" w14:textId="77777777" w:rsidR="009A0D6F" w:rsidRPr="009A0D6F" w:rsidRDefault="468716C7" w:rsidP="468716C7">
            <w:pPr>
              <w:rPr>
                <w:i/>
                <w:iCs/>
                <w:sz w:val="20"/>
                <w:szCs w:val="20"/>
              </w:rPr>
            </w:pPr>
            <w:r w:rsidRPr="468716C7">
              <w:rPr>
                <w:i/>
                <w:iCs/>
                <w:sz w:val="20"/>
                <w:szCs w:val="20"/>
              </w:rPr>
              <w:t>Ms. Eva Huttova</w:t>
            </w:r>
          </w:p>
        </w:tc>
        <w:tc>
          <w:tcPr>
            <w:tcW w:w="3119" w:type="dxa"/>
            <w:shd w:val="clear" w:color="auto" w:fill="auto"/>
          </w:tcPr>
          <w:p w14:paraId="6C359B2D" w14:textId="77777777" w:rsidR="009A0D6F" w:rsidRPr="009A0D6F" w:rsidRDefault="468716C7" w:rsidP="468716C7">
            <w:pPr>
              <w:rPr>
                <w:i/>
                <w:iCs/>
                <w:sz w:val="20"/>
                <w:szCs w:val="20"/>
              </w:rPr>
            </w:pPr>
            <w:r w:rsidRPr="468716C7">
              <w:rPr>
                <w:i/>
                <w:iCs/>
                <w:sz w:val="20"/>
                <w:szCs w:val="20"/>
              </w:rPr>
              <w:t>eva.huttova@undp.org</w:t>
            </w:r>
          </w:p>
        </w:tc>
      </w:tr>
      <w:tr w:rsidR="009A0D6F" w:rsidRPr="0003763F" w14:paraId="43C27A92" w14:textId="77777777" w:rsidTr="468716C7">
        <w:tc>
          <w:tcPr>
            <w:tcW w:w="3118" w:type="dxa"/>
            <w:gridSpan w:val="2"/>
            <w:shd w:val="clear" w:color="auto" w:fill="auto"/>
          </w:tcPr>
          <w:p w14:paraId="0E8BE606" w14:textId="77777777" w:rsidR="009A0D6F" w:rsidRPr="007A30ED" w:rsidRDefault="468716C7" w:rsidP="468716C7">
            <w:pPr>
              <w:rPr>
                <w:rFonts w:ascii="Calibri" w:hAnsi="Calibri" w:cs="Calibri"/>
                <w:i/>
                <w:iCs/>
                <w:sz w:val="20"/>
                <w:szCs w:val="20"/>
                <w:highlight w:val="green"/>
              </w:rPr>
            </w:pPr>
            <w:r w:rsidRPr="00C5394C">
              <w:rPr>
                <w:rFonts w:ascii="Calibri" w:hAnsi="Calibri" w:cs="Calibri"/>
                <w:i/>
                <w:iCs/>
                <w:sz w:val="20"/>
                <w:szCs w:val="20"/>
              </w:rPr>
              <w:t>Project website, etc.</w:t>
            </w:r>
          </w:p>
        </w:tc>
        <w:tc>
          <w:tcPr>
            <w:tcW w:w="6237" w:type="dxa"/>
            <w:gridSpan w:val="4"/>
            <w:shd w:val="clear" w:color="auto" w:fill="auto"/>
          </w:tcPr>
          <w:p w14:paraId="2804306C" w14:textId="0D6BB32A" w:rsidR="009A0D6F" w:rsidRPr="009A0D6F" w:rsidRDefault="009E08AC" w:rsidP="009A0D6F">
            <w:pPr>
              <w:rPr>
                <w:i/>
                <w:sz w:val="20"/>
                <w:szCs w:val="20"/>
              </w:rPr>
            </w:pPr>
            <w:r>
              <w:rPr>
                <w:i/>
                <w:sz w:val="20"/>
                <w:szCs w:val="20"/>
              </w:rPr>
              <w:t>N/A</w:t>
            </w:r>
          </w:p>
        </w:tc>
      </w:tr>
      <w:tr w:rsidR="009A0D6F" w:rsidRPr="0003763F" w14:paraId="082FB508" w14:textId="77777777" w:rsidTr="468716C7">
        <w:tc>
          <w:tcPr>
            <w:tcW w:w="3118" w:type="dxa"/>
            <w:gridSpan w:val="2"/>
            <w:shd w:val="clear" w:color="auto" w:fill="auto"/>
          </w:tcPr>
          <w:p w14:paraId="16E51CFE" w14:textId="77777777" w:rsidR="009A0D6F" w:rsidRPr="009A4503" w:rsidRDefault="468716C7" w:rsidP="468716C7">
            <w:pPr>
              <w:rPr>
                <w:rFonts w:ascii="Calibri" w:hAnsi="Calibri" w:cs="Calibri"/>
                <w:i/>
                <w:iCs/>
                <w:sz w:val="20"/>
                <w:szCs w:val="20"/>
              </w:rPr>
            </w:pPr>
            <w:r w:rsidRPr="009A4503">
              <w:rPr>
                <w:rFonts w:ascii="Calibri" w:hAnsi="Calibri" w:cs="Calibri"/>
                <w:i/>
                <w:iCs/>
                <w:sz w:val="20"/>
                <w:szCs w:val="20"/>
              </w:rPr>
              <w:t>Links to media coverage</w:t>
            </w:r>
          </w:p>
        </w:tc>
        <w:tc>
          <w:tcPr>
            <w:tcW w:w="6237" w:type="dxa"/>
            <w:gridSpan w:val="4"/>
            <w:shd w:val="clear" w:color="auto" w:fill="auto"/>
          </w:tcPr>
          <w:p w14:paraId="6E95E99A" w14:textId="0E842762" w:rsidR="009A0D6F" w:rsidRPr="009A0D6F" w:rsidRDefault="007A30ED" w:rsidP="00830537">
            <w:pPr>
              <w:rPr>
                <w:i/>
                <w:sz w:val="20"/>
                <w:szCs w:val="20"/>
              </w:rPr>
            </w:pPr>
            <w:r>
              <w:rPr>
                <w:i/>
                <w:sz w:val="20"/>
                <w:szCs w:val="20"/>
              </w:rPr>
              <w:t>None</w:t>
            </w:r>
          </w:p>
        </w:tc>
      </w:tr>
      <w:tr w:rsidR="009A0D6F" w:rsidRPr="0003763F" w14:paraId="2F3739BA" w14:textId="77777777" w:rsidTr="468716C7">
        <w:tc>
          <w:tcPr>
            <w:tcW w:w="9355" w:type="dxa"/>
            <w:gridSpan w:val="6"/>
            <w:shd w:val="clear" w:color="auto" w:fill="D0CECE"/>
          </w:tcPr>
          <w:p w14:paraId="29409F97" w14:textId="1BA0F76B" w:rsidR="009A0D6F" w:rsidRPr="009A0D6F" w:rsidRDefault="468716C7" w:rsidP="468716C7">
            <w:pPr>
              <w:rPr>
                <w:i/>
                <w:iCs/>
                <w:sz w:val="20"/>
                <w:szCs w:val="20"/>
              </w:rPr>
            </w:pPr>
            <w:r w:rsidRPr="468716C7">
              <w:rPr>
                <w:rFonts w:cs="Arial"/>
                <w:b/>
                <w:bCs/>
                <w:sz w:val="20"/>
                <w:szCs w:val="20"/>
              </w:rPr>
              <w:t xml:space="preserve">Brief project summary: </w:t>
            </w:r>
            <w:r w:rsidRPr="468716C7">
              <w:rPr>
                <w:rFonts w:cs="Arial"/>
                <w:i/>
                <w:iCs/>
                <w:sz w:val="20"/>
                <w:szCs w:val="20"/>
              </w:rPr>
              <w:t xml:space="preserve"> </w:t>
            </w:r>
          </w:p>
        </w:tc>
      </w:tr>
      <w:tr w:rsidR="004503DA" w:rsidRPr="0003763F" w14:paraId="489EF0E7" w14:textId="77777777" w:rsidTr="468716C7">
        <w:trPr>
          <w:trHeight w:val="2258"/>
        </w:trPr>
        <w:tc>
          <w:tcPr>
            <w:tcW w:w="9355" w:type="dxa"/>
            <w:gridSpan w:val="6"/>
            <w:shd w:val="clear" w:color="auto" w:fill="auto"/>
          </w:tcPr>
          <w:p w14:paraId="4633B476" w14:textId="33ACFE52" w:rsidR="004503DA" w:rsidRPr="00B97D6C" w:rsidRDefault="009563D8" w:rsidP="00B97D6C">
            <w:pPr>
              <w:jc w:val="both"/>
              <w:rPr>
                <w:bCs/>
                <w:sz w:val="20"/>
                <w:szCs w:val="20"/>
              </w:rPr>
            </w:pPr>
            <w:r w:rsidRPr="005657E5">
              <w:rPr>
                <w:bCs/>
                <w:sz w:val="20"/>
                <w:szCs w:val="20"/>
              </w:rPr>
              <w:t>This project is in line with the following CCCD Programme Objectives</w:t>
            </w:r>
            <w:r w:rsidRPr="00E82C31">
              <w:rPr>
                <w:bCs/>
                <w:sz w:val="20"/>
                <w:szCs w:val="20"/>
              </w:rPr>
              <w:t>: i) CD 2 to</w:t>
            </w:r>
            <w:r w:rsidRPr="005657E5">
              <w:rPr>
                <w:bCs/>
                <w:sz w:val="20"/>
                <w:szCs w:val="20"/>
              </w:rPr>
              <w:t xml:space="preserve"> generate, access and use information and knowledge; and ii) CD 5 to enhance capacities to monitor and evaluate environmental impacts and trends.</w:t>
            </w:r>
            <w:r>
              <w:rPr>
                <w:bCs/>
                <w:sz w:val="20"/>
                <w:szCs w:val="20"/>
              </w:rPr>
              <w:t xml:space="preserve"> </w:t>
            </w:r>
            <w:r w:rsidRPr="00F348D5">
              <w:rPr>
                <w:bCs/>
                <w:sz w:val="20"/>
                <w:szCs w:val="20"/>
              </w:rPr>
              <w:t>It is also aligned with the first objective of the GEF-6 CCCD strategy that is to integrate global environmental needs into management info</w:t>
            </w:r>
            <w:r>
              <w:rPr>
                <w:bCs/>
                <w:sz w:val="20"/>
                <w:szCs w:val="20"/>
              </w:rPr>
              <w:t>rmation and monitoring systems.</w:t>
            </w:r>
            <w:r w:rsidRPr="005657E5">
              <w:rPr>
                <w:bCs/>
                <w:sz w:val="20"/>
                <w:szCs w:val="20"/>
              </w:rPr>
              <w:t xml:space="preserve"> It is a direct response to the GEF-funded National Capacity Self-Assessment (NCSA) project conducted in Palau during the period of 2006-2007, which</w:t>
            </w:r>
            <w:r>
              <w:rPr>
                <w:bCs/>
                <w:sz w:val="20"/>
                <w:szCs w:val="20"/>
              </w:rPr>
              <w:t xml:space="preserve"> </w:t>
            </w:r>
            <w:r w:rsidRPr="00905AF9">
              <w:rPr>
                <w:bCs/>
                <w:sz w:val="20"/>
                <w:szCs w:val="20"/>
              </w:rPr>
              <w:t>identified environmental information as a constraint for good environmental decision-making</w:t>
            </w:r>
            <w:r>
              <w:rPr>
                <w:bCs/>
                <w:sz w:val="20"/>
                <w:szCs w:val="20"/>
              </w:rPr>
              <w:t xml:space="preserve"> and that </w:t>
            </w:r>
            <w:r w:rsidRPr="00905AF9">
              <w:rPr>
                <w:bCs/>
                <w:sz w:val="20"/>
                <w:szCs w:val="20"/>
              </w:rPr>
              <w:t xml:space="preserve">there was a need for more comprehensive datasets </w:t>
            </w:r>
            <w:r>
              <w:rPr>
                <w:bCs/>
                <w:sz w:val="20"/>
                <w:szCs w:val="20"/>
              </w:rPr>
              <w:t xml:space="preserve">to be </w:t>
            </w:r>
            <w:r w:rsidRPr="00905AF9">
              <w:rPr>
                <w:bCs/>
                <w:sz w:val="20"/>
                <w:szCs w:val="20"/>
              </w:rPr>
              <w:t>made available to stakeholders including decision-makers and also a greater capacity of stakeholders for analyzing and using this information in relat</w:t>
            </w:r>
            <w:r>
              <w:rPr>
                <w:bCs/>
                <w:sz w:val="20"/>
                <w:szCs w:val="20"/>
              </w:rPr>
              <w:t xml:space="preserve">ed policy and programme making. </w:t>
            </w:r>
            <w:r w:rsidRPr="00F63E5F">
              <w:rPr>
                <w:bCs/>
                <w:sz w:val="20"/>
                <w:szCs w:val="20"/>
              </w:rPr>
              <w:t xml:space="preserve">Through a learning-by-doing process, this project will harmonize existing information systems, and integrate internationally accepted measurement standards and methodologies, as well as consistent reporting on the </w:t>
            </w:r>
            <w:r>
              <w:rPr>
                <w:bCs/>
                <w:sz w:val="20"/>
                <w:szCs w:val="20"/>
              </w:rPr>
              <w:t xml:space="preserve">status of the </w:t>
            </w:r>
            <w:r w:rsidRPr="00F63E5F">
              <w:rPr>
                <w:bCs/>
                <w:sz w:val="20"/>
                <w:szCs w:val="20"/>
              </w:rPr>
              <w:t>environment</w:t>
            </w:r>
            <w:r>
              <w:rPr>
                <w:bCs/>
                <w:sz w:val="20"/>
                <w:szCs w:val="20"/>
              </w:rPr>
              <w:t xml:space="preserve"> in Palau</w:t>
            </w:r>
            <w:r w:rsidRPr="00F63E5F">
              <w:rPr>
                <w:bCs/>
                <w:sz w:val="20"/>
                <w:szCs w:val="20"/>
              </w:rPr>
              <w:t>. It will target the development of capacities at the individual and organizational level, strengthening technical skills to manage data and transform this information into knowledge. The project will also support activities to strengthen the coordination between key sectors to address biodiversity, climate change and land degradation issues at systemic and institutional levels.</w:t>
            </w:r>
            <w:r>
              <w:rPr>
                <w:bCs/>
                <w:sz w:val="20"/>
                <w:szCs w:val="20"/>
              </w:rPr>
              <w:t xml:space="preserve"> </w:t>
            </w:r>
            <w:r w:rsidRPr="00F63E5F">
              <w:rPr>
                <w:bCs/>
                <w:sz w:val="20"/>
                <w:szCs w:val="20"/>
              </w:rPr>
              <w:t>Under the first component, the project will improve existing management information systems to measure achievements towards global environmental objectives.</w:t>
            </w:r>
            <w:r>
              <w:rPr>
                <w:bCs/>
                <w:sz w:val="20"/>
                <w:szCs w:val="20"/>
              </w:rPr>
              <w:t xml:space="preserve"> </w:t>
            </w:r>
            <w:r w:rsidRPr="00EE5AAC">
              <w:rPr>
                <w:bCs/>
                <w:sz w:val="20"/>
                <w:szCs w:val="20"/>
              </w:rPr>
              <w:t>Under the second component, the project will strengthen technical capacities to monitor and evaluate the st</w:t>
            </w:r>
            <w:r>
              <w:rPr>
                <w:bCs/>
                <w:sz w:val="20"/>
                <w:szCs w:val="20"/>
              </w:rPr>
              <w:t>ate of the environment in Palau</w:t>
            </w:r>
            <w:r w:rsidRPr="00EE5AAC">
              <w:rPr>
                <w:bCs/>
                <w:sz w:val="20"/>
                <w:szCs w:val="20"/>
              </w:rPr>
              <w:t xml:space="preserve"> to use improved data and information for strategic decision-making in the interest of meeting global environmental obligations.</w:t>
            </w:r>
            <w:r>
              <w:rPr>
                <w:bCs/>
                <w:sz w:val="20"/>
                <w:szCs w:val="20"/>
              </w:rPr>
              <w:t xml:space="preserve"> Finally, under the third component, the project</w:t>
            </w:r>
            <w:r w:rsidRPr="00EE5AAC">
              <w:rPr>
                <w:bCs/>
                <w:sz w:val="20"/>
                <w:szCs w:val="20"/>
              </w:rPr>
              <w:t xml:space="preserve"> will focus on enhancing the institutional sustainability of capacities developed under the project</w:t>
            </w:r>
            <w:r>
              <w:rPr>
                <w:bCs/>
                <w:sz w:val="20"/>
                <w:szCs w:val="20"/>
              </w:rPr>
              <w:t>, including strengthening</w:t>
            </w:r>
            <w:r w:rsidRPr="00EE5AAC">
              <w:rPr>
                <w:bCs/>
                <w:sz w:val="20"/>
                <w:szCs w:val="20"/>
              </w:rPr>
              <w:t xml:space="preserve"> the institutional linkages of data and information systems across agencies and stakeholder organizations. Lessons learned and best practices will be shared in the region.</w:t>
            </w:r>
          </w:p>
        </w:tc>
      </w:tr>
      <w:tr w:rsidR="009A016C" w:rsidRPr="0003763F" w14:paraId="3815CE7E" w14:textId="77777777" w:rsidTr="0084003D">
        <w:trPr>
          <w:trHeight w:val="530"/>
        </w:trPr>
        <w:tc>
          <w:tcPr>
            <w:tcW w:w="4585" w:type="dxa"/>
            <w:gridSpan w:val="3"/>
            <w:shd w:val="clear" w:color="auto" w:fill="auto"/>
          </w:tcPr>
          <w:p w14:paraId="148CA630" w14:textId="77777777" w:rsidR="009A016C" w:rsidRPr="009A0D6F" w:rsidRDefault="009A016C" w:rsidP="468716C7">
            <w:pPr>
              <w:spacing w:after="240"/>
              <w:rPr>
                <w:rFonts w:cs="Arial"/>
                <w:b/>
                <w:bCs/>
                <w:sz w:val="20"/>
                <w:szCs w:val="20"/>
              </w:rPr>
            </w:pPr>
            <w:r w:rsidRPr="0084003D">
              <w:rPr>
                <w:rFonts w:cs="Arial"/>
                <w:b/>
                <w:bCs/>
                <w:color w:val="FF0000"/>
                <w:sz w:val="20"/>
                <w:szCs w:val="20"/>
                <w:shd w:val="clear" w:color="auto" w:fill="D0CECE" w:themeFill="background2" w:themeFillShade="E6"/>
              </w:rPr>
              <w:t>Link to Project QA assessment</w:t>
            </w:r>
            <w:r w:rsidR="00280B3E" w:rsidRPr="0084003D">
              <w:rPr>
                <w:rFonts w:cs="Arial"/>
                <w:b/>
                <w:bCs/>
                <w:color w:val="FF0000"/>
                <w:sz w:val="20"/>
                <w:szCs w:val="20"/>
                <w:shd w:val="clear" w:color="auto" w:fill="D0CECE" w:themeFill="background2" w:themeFillShade="E6"/>
              </w:rPr>
              <w:t xml:space="preserve"> implementation</w:t>
            </w:r>
            <w:r w:rsidR="005C0EE5" w:rsidRPr="0084003D">
              <w:rPr>
                <w:rFonts w:cs="Arial"/>
                <w:b/>
                <w:bCs/>
                <w:color w:val="FF0000"/>
                <w:sz w:val="20"/>
                <w:szCs w:val="20"/>
                <w:shd w:val="clear" w:color="auto" w:fill="D0CECE" w:themeFill="background2" w:themeFillShade="E6"/>
              </w:rPr>
              <w:t xml:space="preserve"> report for the reporting period</w:t>
            </w:r>
            <w:r w:rsidRPr="0084003D">
              <w:rPr>
                <w:rFonts w:cs="Arial"/>
                <w:b/>
                <w:bCs/>
                <w:color w:val="FF0000"/>
                <w:sz w:val="20"/>
                <w:szCs w:val="20"/>
              </w:rPr>
              <w:t>:</w:t>
            </w:r>
          </w:p>
        </w:tc>
        <w:tc>
          <w:tcPr>
            <w:tcW w:w="4770" w:type="dxa"/>
            <w:gridSpan w:val="3"/>
            <w:shd w:val="clear" w:color="auto" w:fill="auto"/>
          </w:tcPr>
          <w:p w14:paraId="72D031DD" w14:textId="1881F0C2" w:rsidR="009A016C" w:rsidRPr="009A0D6F" w:rsidRDefault="00D0082C" w:rsidP="006031D6">
            <w:pPr>
              <w:spacing w:after="240"/>
              <w:rPr>
                <w:rFonts w:cs="Arial"/>
                <w:b/>
                <w:sz w:val="20"/>
                <w:szCs w:val="20"/>
              </w:rPr>
            </w:pPr>
            <w:hyperlink r:id="rId12" w:history="1">
              <w:r w:rsidR="005D275C">
                <w:rPr>
                  <w:rStyle w:val="Hyperlink"/>
                </w:rPr>
                <w:t>https://intranet.undp.org/sites/PLW/project/00087532/SitePages/</w:t>
              </w:r>
              <w:r w:rsidR="005D275C">
                <w:rPr>
                  <w:rStyle w:val="Hyperlink"/>
                </w:rPr>
                <w:t>P</w:t>
              </w:r>
              <w:r w:rsidR="005D275C">
                <w:rPr>
                  <w:rStyle w:val="Hyperlink"/>
                </w:rPr>
                <w:t>rojectQAHomeV2.aspx?year=2018</w:t>
              </w:r>
            </w:hyperlink>
          </w:p>
        </w:tc>
      </w:tr>
    </w:tbl>
    <w:p w14:paraId="379F7E22" w14:textId="77777777" w:rsidR="004503DA" w:rsidRDefault="004503DA" w:rsidP="004503DA"/>
    <w:p w14:paraId="013659E3" w14:textId="77777777" w:rsidR="00EA4761" w:rsidRDefault="00EA4761">
      <w:pPr>
        <w:rPr>
          <w:rFonts w:eastAsiaTheme="majorEastAsia" w:cstheme="majorBidi"/>
          <w:b/>
          <w:bCs/>
          <w:sz w:val="32"/>
          <w:szCs w:val="32"/>
        </w:rPr>
        <w:sectPr w:rsidR="00EA4761" w:rsidSect="00EA4761">
          <w:headerReference w:type="default" r:id="rId13"/>
          <w:footerReference w:type="default" r:id="rId14"/>
          <w:pgSz w:w="12240" w:h="15840"/>
          <w:pgMar w:top="720" w:right="720" w:bottom="720" w:left="720" w:header="720" w:footer="720" w:gutter="0"/>
          <w:cols w:space="720"/>
          <w:docGrid w:linePitch="360"/>
        </w:sectPr>
      </w:pPr>
    </w:p>
    <w:p w14:paraId="1E0C7431" w14:textId="05B80F79" w:rsidR="00BD4564" w:rsidRDefault="00BD4564">
      <w:pPr>
        <w:rPr>
          <w:rFonts w:eastAsiaTheme="majorEastAsia" w:cstheme="majorBidi"/>
          <w:b/>
          <w:bCs/>
          <w:sz w:val="32"/>
          <w:szCs w:val="32"/>
        </w:rPr>
      </w:pPr>
    </w:p>
    <w:p w14:paraId="4C157199" w14:textId="349E46E3" w:rsidR="00402984" w:rsidRPr="00B02538" w:rsidRDefault="468716C7" w:rsidP="009A15B8">
      <w:pPr>
        <w:pStyle w:val="Heading1"/>
        <w:rPr>
          <w:i/>
          <w:iCs/>
        </w:rPr>
      </w:pPr>
      <w:r w:rsidRPr="00B02538">
        <w:rPr>
          <w:rFonts w:asciiTheme="minorHAnsi" w:hAnsiTheme="minorHAnsi"/>
          <w:b/>
          <w:bCs/>
          <w:color w:val="auto"/>
        </w:rPr>
        <w:t>I. Executive Summary</w:t>
      </w:r>
      <w:r w:rsidR="009A15B8" w:rsidRPr="00B02538">
        <w:rPr>
          <w:rFonts w:asciiTheme="minorHAnsi" w:hAnsiTheme="minorHAnsi"/>
          <w:b/>
          <w:bCs/>
          <w:color w:val="auto"/>
        </w:rPr>
        <w:t xml:space="preserve">  </w:t>
      </w:r>
    </w:p>
    <w:p w14:paraId="096B90CF" w14:textId="706B6A97" w:rsidR="00BB5D8E" w:rsidRPr="0043094B" w:rsidRDefault="001307B7" w:rsidP="00606419">
      <w:pPr>
        <w:jc w:val="both"/>
        <w:rPr>
          <w:rFonts w:cstheme="minorHAnsi"/>
        </w:rPr>
      </w:pPr>
      <w:r w:rsidRPr="00B02538">
        <w:rPr>
          <w:rFonts w:cstheme="minorHAnsi"/>
        </w:rPr>
        <w:t xml:space="preserve">Based on the recommendations from the </w:t>
      </w:r>
      <w:r w:rsidR="005A6335" w:rsidRPr="00B02538">
        <w:rPr>
          <w:rFonts w:cstheme="minorHAnsi"/>
        </w:rPr>
        <w:t xml:space="preserve">National Capacity Self-Assessment (CB1), this </w:t>
      </w:r>
      <w:r w:rsidR="002466A7" w:rsidRPr="00B02538">
        <w:rPr>
          <w:rFonts w:cstheme="minorHAnsi"/>
        </w:rPr>
        <w:t>project aims to improve data and information management</w:t>
      </w:r>
      <w:r w:rsidR="003B06CA" w:rsidRPr="00B02538">
        <w:rPr>
          <w:rFonts w:cstheme="minorHAnsi"/>
        </w:rPr>
        <w:t xml:space="preserve"> as a way to </w:t>
      </w:r>
      <w:r w:rsidR="005A6335" w:rsidRPr="00B02538">
        <w:rPr>
          <w:rFonts w:cstheme="minorHAnsi"/>
        </w:rPr>
        <w:t>strengthen Palau’s capacity</w:t>
      </w:r>
      <w:r w:rsidR="002466A7" w:rsidRPr="00B02538">
        <w:rPr>
          <w:rFonts w:cstheme="minorHAnsi"/>
        </w:rPr>
        <w:t xml:space="preserve"> to</w:t>
      </w:r>
      <w:r w:rsidR="003B06CA" w:rsidRPr="00B02538">
        <w:rPr>
          <w:rFonts w:cstheme="minorHAnsi"/>
        </w:rPr>
        <w:t xml:space="preserve"> more effectively</w:t>
      </w:r>
      <w:r w:rsidR="002466A7" w:rsidRPr="00B02538">
        <w:rPr>
          <w:rFonts w:cstheme="minorHAnsi"/>
        </w:rPr>
        <w:t xml:space="preserve"> meet </w:t>
      </w:r>
      <w:r w:rsidR="005A6335" w:rsidRPr="00B02538">
        <w:rPr>
          <w:rFonts w:cstheme="minorHAnsi"/>
        </w:rPr>
        <w:t xml:space="preserve">and report on </w:t>
      </w:r>
      <w:r w:rsidR="002466A7" w:rsidRPr="00B02538">
        <w:rPr>
          <w:rFonts w:cstheme="minorHAnsi"/>
        </w:rPr>
        <w:t>national and international environmental commitments.</w:t>
      </w:r>
      <w:r w:rsidR="00216681" w:rsidRPr="00B02538">
        <w:rPr>
          <w:rFonts w:cstheme="minorHAnsi"/>
        </w:rPr>
        <w:t xml:space="preserve"> </w:t>
      </w:r>
      <w:r w:rsidR="00606419" w:rsidRPr="00B02538">
        <w:rPr>
          <w:rFonts w:cstheme="minorHAnsi"/>
        </w:rPr>
        <w:t>The database is expected to be operational by June 2019. The database will have environmental data needed</w:t>
      </w:r>
      <w:r w:rsidR="00606419">
        <w:rPr>
          <w:rFonts w:cstheme="minorHAnsi"/>
        </w:rPr>
        <w:t xml:space="preserve"> by Palau</w:t>
      </w:r>
      <w:r w:rsidR="00606419" w:rsidRPr="004E144E">
        <w:rPr>
          <w:rFonts w:cstheme="minorHAnsi"/>
        </w:rPr>
        <w:t xml:space="preserve"> to report on </w:t>
      </w:r>
      <w:r w:rsidR="002801AD">
        <w:rPr>
          <w:rFonts w:cstheme="minorHAnsi"/>
        </w:rPr>
        <w:t>/</w:t>
      </w:r>
      <w:r w:rsidR="00606419" w:rsidRPr="004E144E">
        <w:rPr>
          <w:rFonts w:cstheme="minorHAnsi"/>
        </w:rPr>
        <w:t xml:space="preserve"> Rio Conventions (especially UNCBD where data</w:t>
      </w:r>
      <w:r w:rsidR="00606419">
        <w:rPr>
          <w:rFonts w:cstheme="minorHAnsi"/>
        </w:rPr>
        <w:t xml:space="preserve"> is available</w:t>
      </w:r>
      <w:r w:rsidR="00606419" w:rsidRPr="004E144E">
        <w:rPr>
          <w:rFonts w:cstheme="minorHAnsi"/>
        </w:rPr>
        <w:t>) and it will also be used to populate our State of the Env</w:t>
      </w:r>
      <w:r w:rsidR="00606419">
        <w:rPr>
          <w:rFonts w:cstheme="minorHAnsi"/>
        </w:rPr>
        <w:t>ironment</w:t>
      </w:r>
      <w:r w:rsidR="00606419" w:rsidRPr="004E144E">
        <w:rPr>
          <w:rFonts w:cstheme="minorHAnsi"/>
        </w:rPr>
        <w:t xml:space="preserve"> Reports</w:t>
      </w:r>
      <w:r w:rsidR="00606419">
        <w:rPr>
          <w:rFonts w:cstheme="minorHAnsi"/>
        </w:rPr>
        <w:t>.</w:t>
      </w:r>
      <w:r w:rsidR="00216681" w:rsidRPr="002C4FCF">
        <w:rPr>
          <w:rFonts w:cstheme="minorHAnsi"/>
        </w:rPr>
        <w:t xml:space="preserve"> </w:t>
      </w:r>
      <w:r w:rsidR="00944EFB" w:rsidRPr="002C4FCF">
        <w:rPr>
          <w:rFonts w:cstheme="minorHAnsi"/>
        </w:rPr>
        <w:t xml:space="preserve">To this end, several documents have been completed through this project.  These include reports reflecting the baseline of current information and data management and inter-agency data sharing systems; the status of Palau’s efforts in national environmental coordination; </w:t>
      </w:r>
      <w:r w:rsidR="003C01C9" w:rsidRPr="002C4FCF">
        <w:rPr>
          <w:rFonts w:cstheme="minorHAnsi"/>
        </w:rPr>
        <w:t xml:space="preserve">and </w:t>
      </w:r>
      <w:r w:rsidR="00944EFB" w:rsidRPr="002C4FCF">
        <w:rPr>
          <w:rFonts w:cstheme="minorHAnsi"/>
        </w:rPr>
        <w:t xml:space="preserve">the state </w:t>
      </w:r>
      <w:r w:rsidR="003C01C9" w:rsidRPr="002C4FCF">
        <w:rPr>
          <w:rFonts w:cstheme="minorHAnsi"/>
        </w:rPr>
        <w:t xml:space="preserve">of the environment.  </w:t>
      </w:r>
      <w:r w:rsidR="00D260B7" w:rsidRPr="0043094B">
        <w:rPr>
          <w:rFonts w:cstheme="minorHAnsi"/>
        </w:rPr>
        <w:t xml:space="preserve">Collectively, these outputs have improved existing information systems by documenting the baseline for information management systems in Palau as well as provide a foundation from which future progress and achievements can be systematically measured.   </w:t>
      </w:r>
      <w:r w:rsidR="00BB5D8E" w:rsidRPr="0043094B">
        <w:rPr>
          <w:rFonts w:cstheme="minorHAnsi"/>
        </w:rPr>
        <w:t xml:space="preserve">Progress made to date on </w:t>
      </w:r>
      <w:r w:rsidR="0021505E" w:rsidRPr="0043094B">
        <w:rPr>
          <w:rFonts w:cstheme="minorHAnsi"/>
        </w:rPr>
        <w:t>the</w:t>
      </w:r>
      <w:r w:rsidR="00BB5D8E" w:rsidRPr="0043094B">
        <w:rPr>
          <w:rFonts w:cstheme="minorHAnsi"/>
        </w:rPr>
        <w:t xml:space="preserve"> three outcomes </w:t>
      </w:r>
      <w:r w:rsidR="0021505E" w:rsidRPr="0043094B">
        <w:rPr>
          <w:rFonts w:cstheme="minorHAnsi"/>
        </w:rPr>
        <w:t>of this project are summarized below:</w:t>
      </w:r>
    </w:p>
    <w:p w14:paraId="16DAFD1A" w14:textId="07333AEA" w:rsidR="00606419" w:rsidRDefault="00BB5D8E" w:rsidP="00606419">
      <w:pPr>
        <w:spacing w:before="120" w:after="120"/>
        <w:jc w:val="both"/>
        <w:rPr>
          <w:rFonts w:cstheme="minorHAnsi"/>
        </w:rPr>
      </w:pPr>
      <w:r w:rsidRPr="0043094B">
        <w:rPr>
          <w:rFonts w:cstheme="minorHAnsi"/>
          <w:b/>
        </w:rPr>
        <w:t>Outcome 1:  Improved management information system for the global environment</w:t>
      </w:r>
      <w:r w:rsidRPr="0043094B">
        <w:rPr>
          <w:rFonts w:cstheme="minorHAnsi"/>
        </w:rPr>
        <w:t>.  A total of 5 documents consisting of baseline assessments (e.g., Inventory of Environmental Datasets and Review of Assessment Protocols for Environmental Data Sharing) and reporting on environmental activities and progress (e.g., State of the Environment Report and NEPC 2016 Annual Review) have been produced.  Additionally, a recently endorsed National SDG Core Indicators List can be included here, as this list will be used in the design of the Environmental Central Database, as well as determining monitoring needs and capacities to operationalize and maintain this Database.</w:t>
      </w:r>
      <w:r w:rsidR="00376891" w:rsidRPr="0043094B">
        <w:rPr>
          <w:rFonts w:cstheme="minorHAnsi"/>
        </w:rPr>
        <w:t xml:space="preserve">  </w:t>
      </w:r>
      <w:r w:rsidR="00606419">
        <w:rPr>
          <w:rFonts w:cstheme="minorHAnsi"/>
        </w:rPr>
        <w:t xml:space="preserve">There are also plans to </w:t>
      </w:r>
      <w:r w:rsidR="00606419" w:rsidRPr="004E144E">
        <w:rPr>
          <w:rFonts w:cstheme="minorHAnsi"/>
        </w:rPr>
        <w:t xml:space="preserve">utilize an existing online </w:t>
      </w:r>
      <w:r w:rsidR="008F2CFB">
        <w:rPr>
          <w:rFonts w:cstheme="minorHAnsi"/>
        </w:rPr>
        <w:t xml:space="preserve">SPREP </w:t>
      </w:r>
      <w:r w:rsidR="00606419" w:rsidRPr="004E144E">
        <w:rPr>
          <w:rFonts w:cstheme="minorHAnsi"/>
        </w:rPr>
        <w:t xml:space="preserve">portal  for </w:t>
      </w:r>
      <w:r w:rsidR="008F2CFB">
        <w:rPr>
          <w:rFonts w:cstheme="minorHAnsi"/>
        </w:rPr>
        <w:t>‘</w:t>
      </w:r>
      <w:r w:rsidR="00606419" w:rsidRPr="004E144E">
        <w:rPr>
          <w:rFonts w:cstheme="minorHAnsi"/>
        </w:rPr>
        <w:t>Inform Project</w:t>
      </w:r>
      <w:r w:rsidR="008F2CFB">
        <w:rPr>
          <w:rFonts w:cstheme="minorHAnsi"/>
        </w:rPr>
        <w:t>’</w:t>
      </w:r>
      <w:r w:rsidR="00606419">
        <w:rPr>
          <w:rFonts w:cstheme="minorHAnsi"/>
        </w:rPr>
        <w:t xml:space="preserve"> </w:t>
      </w:r>
      <w:r w:rsidR="008F2CFB">
        <w:rPr>
          <w:rFonts w:cstheme="minorHAnsi"/>
        </w:rPr>
        <w:t>that</w:t>
      </w:r>
      <w:r w:rsidR="00606419">
        <w:rPr>
          <w:rFonts w:cstheme="minorHAnsi"/>
        </w:rPr>
        <w:t xml:space="preserve"> can</w:t>
      </w:r>
      <w:r w:rsidR="00606419" w:rsidRPr="004E144E">
        <w:rPr>
          <w:rFonts w:cstheme="minorHAnsi"/>
        </w:rPr>
        <w:t xml:space="preserve"> still meet </w:t>
      </w:r>
      <w:r w:rsidR="00606419">
        <w:rPr>
          <w:rFonts w:cstheme="minorHAnsi"/>
        </w:rPr>
        <w:t xml:space="preserve">the country’s </w:t>
      </w:r>
      <w:r w:rsidR="00606419" w:rsidRPr="004E144E">
        <w:rPr>
          <w:rFonts w:cstheme="minorHAnsi"/>
        </w:rPr>
        <w:t>environmental database needs</w:t>
      </w:r>
      <w:r w:rsidR="008F2CFB">
        <w:rPr>
          <w:rFonts w:cstheme="minorHAnsi"/>
        </w:rPr>
        <w:t>. A</w:t>
      </w:r>
      <w:r w:rsidR="00606419">
        <w:rPr>
          <w:rFonts w:cstheme="minorHAnsi"/>
        </w:rPr>
        <w:t xml:space="preserve"> consultant will be recruited to </w:t>
      </w:r>
      <w:r w:rsidR="00606419" w:rsidRPr="004E144E">
        <w:rPr>
          <w:rFonts w:cstheme="minorHAnsi"/>
        </w:rPr>
        <w:t xml:space="preserve">focus on other national database needs for PALARIS, which at present is mostly </w:t>
      </w:r>
      <w:r w:rsidR="008F2CFB">
        <w:rPr>
          <w:rFonts w:cstheme="minorHAnsi"/>
        </w:rPr>
        <w:t xml:space="preserve">focused </w:t>
      </w:r>
      <w:r w:rsidR="00606419" w:rsidRPr="004E144E">
        <w:rPr>
          <w:rFonts w:cstheme="minorHAnsi"/>
        </w:rPr>
        <w:t>on land ownership and domestic/international boundary issues.</w:t>
      </w:r>
    </w:p>
    <w:p w14:paraId="69BEFF21" w14:textId="77777777" w:rsidR="00E605DC" w:rsidRPr="0043094B" w:rsidRDefault="00E605DC" w:rsidP="00A62BE5">
      <w:pPr>
        <w:spacing w:before="120" w:after="120"/>
        <w:jc w:val="both"/>
        <w:rPr>
          <w:rFonts w:cstheme="minorHAnsi"/>
        </w:rPr>
      </w:pPr>
    </w:p>
    <w:p w14:paraId="4ABF5569" w14:textId="293C7FD4" w:rsidR="006031D6" w:rsidRPr="0043094B" w:rsidRDefault="006031D6" w:rsidP="0043094B">
      <w:pPr>
        <w:spacing w:before="120" w:after="120"/>
        <w:jc w:val="both"/>
        <w:rPr>
          <w:rFonts w:cstheme="minorHAnsi"/>
        </w:rPr>
      </w:pPr>
      <w:r w:rsidRPr="0043094B">
        <w:rPr>
          <w:rFonts w:cstheme="minorHAnsi"/>
          <w:b/>
        </w:rPr>
        <w:t>2018 Update</w:t>
      </w:r>
    </w:p>
    <w:p w14:paraId="4022BB90" w14:textId="77777777" w:rsidR="00606419" w:rsidRPr="005D275C" w:rsidRDefault="00606419" w:rsidP="00606419">
      <w:pPr>
        <w:pStyle w:val="ListParagraph"/>
        <w:numPr>
          <w:ilvl w:val="0"/>
          <w:numId w:val="20"/>
        </w:numPr>
        <w:spacing w:before="120" w:after="120"/>
        <w:jc w:val="both"/>
        <w:rPr>
          <w:rFonts w:asciiTheme="minorHAnsi" w:hAnsiTheme="minorHAnsi" w:cstheme="minorHAnsi"/>
          <w:sz w:val="22"/>
          <w:szCs w:val="22"/>
        </w:rPr>
      </w:pPr>
      <w:r w:rsidRPr="005D275C">
        <w:rPr>
          <w:rFonts w:asciiTheme="minorHAnsi" w:hAnsiTheme="minorHAnsi" w:cstheme="minorHAnsi"/>
          <w:sz w:val="22"/>
          <w:szCs w:val="22"/>
        </w:rPr>
        <w:t>With the creation of several NEPC theme-based Working Groups since the SOP was approved, the NEPC has directly influenced the advancement of two legislations – the ABS bill which was passed in August and the Sustainable Tourism bill, which is still being reviewed in congress.</w:t>
      </w:r>
    </w:p>
    <w:p w14:paraId="0F824E18" w14:textId="77777777" w:rsidR="00606419" w:rsidRPr="005D275C" w:rsidRDefault="00606419" w:rsidP="00606419">
      <w:pPr>
        <w:pStyle w:val="ListParagraph"/>
        <w:numPr>
          <w:ilvl w:val="0"/>
          <w:numId w:val="20"/>
        </w:numPr>
        <w:spacing w:before="120" w:after="120"/>
        <w:jc w:val="both"/>
        <w:rPr>
          <w:rFonts w:asciiTheme="minorHAnsi" w:hAnsiTheme="minorHAnsi" w:cstheme="minorHAnsi"/>
          <w:sz w:val="22"/>
          <w:szCs w:val="22"/>
        </w:rPr>
      </w:pPr>
      <w:r w:rsidRPr="005D275C">
        <w:rPr>
          <w:rFonts w:asciiTheme="minorHAnsi" w:hAnsiTheme="minorHAnsi" w:cstheme="minorHAnsi"/>
          <w:sz w:val="22"/>
          <w:szCs w:val="22"/>
        </w:rPr>
        <w:t>NEPC held a mini-retreat to basically go over NEPC’s By-laws and SOP to ensure members are familiar with them; to discuss content for NEPC’s annual report to be submitted to the Office of the President at the end of this year; and to prepare the 2019 Work Plan.  See attached pdf mini-retreat agenda for reference.</w:t>
      </w:r>
    </w:p>
    <w:p w14:paraId="14FAACD6" w14:textId="77777777" w:rsidR="00606419" w:rsidRPr="005D275C" w:rsidRDefault="00606419" w:rsidP="00606419">
      <w:pPr>
        <w:pStyle w:val="ListParagraph"/>
        <w:numPr>
          <w:ilvl w:val="0"/>
          <w:numId w:val="20"/>
        </w:numPr>
        <w:spacing w:before="120" w:after="120"/>
        <w:jc w:val="both"/>
        <w:rPr>
          <w:rFonts w:asciiTheme="minorHAnsi" w:hAnsiTheme="minorHAnsi" w:cstheme="minorHAnsi"/>
          <w:sz w:val="22"/>
          <w:szCs w:val="22"/>
        </w:rPr>
      </w:pPr>
      <w:r w:rsidRPr="005D275C">
        <w:rPr>
          <w:rFonts w:asciiTheme="minorHAnsi" w:hAnsiTheme="minorHAnsi" w:cstheme="minorHAnsi"/>
          <w:sz w:val="22"/>
          <w:szCs w:val="22"/>
        </w:rPr>
        <w:t>Through CB2 funding support, another capacity building retreat for the Bureau of Budget and Planning (BBP), within which PALARIS and NEPC sit, has been under discussion to take place in early Dec (1</w:t>
      </w:r>
      <w:r w:rsidRPr="005D275C">
        <w:rPr>
          <w:rFonts w:asciiTheme="minorHAnsi" w:hAnsiTheme="minorHAnsi" w:cstheme="minorHAnsi"/>
          <w:sz w:val="22"/>
          <w:szCs w:val="22"/>
          <w:vertAlign w:val="superscript"/>
        </w:rPr>
        <w:t>st</w:t>
      </w:r>
      <w:r w:rsidRPr="005D275C">
        <w:rPr>
          <w:rFonts w:asciiTheme="minorHAnsi" w:hAnsiTheme="minorHAnsi" w:cstheme="minorHAnsi"/>
          <w:sz w:val="22"/>
          <w:szCs w:val="22"/>
        </w:rPr>
        <w:t xml:space="preserve"> week of Dec 2019).   BBP is the bureau responsible for producing the HIES and Census reports, among other national reports.  With the government reorganization in 2016 when BBP ‘inherited’ PALARIS and NEPC, who are leading the State of the Environment Report and now the SDG localization effort and VNR reporting in 2019, BBP is in a critical need of an institutional assessment, build staff camaraderie and instill a stronger sense of team spirit so that all the different departments can help each other meet these urgent deadlines, especially the 2</w:t>
      </w:r>
      <w:r w:rsidRPr="005D275C">
        <w:rPr>
          <w:rFonts w:asciiTheme="minorHAnsi" w:hAnsiTheme="minorHAnsi" w:cstheme="minorHAnsi"/>
          <w:sz w:val="22"/>
          <w:szCs w:val="22"/>
          <w:vertAlign w:val="superscript"/>
        </w:rPr>
        <w:t>nd</w:t>
      </w:r>
      <w:r w:rsidRPr="005D275C">
        <w:rPr>
          <w:rFonts w:asciiTheme="minorHAnsi" w:hAnsiTheme="minorHAnsi" w:cstheme="minorHAnsi"/>
          <w:sz w:val="22"/>
          <w:szCs w:val="22"/>
        </w:rPr>
        <w:t xml:space="preserve"> State of the Environment Report (SOE) and the SDG VNR 2019.</w:t>
      </w:r>
    </w:p>
    <w:p w14:paraId="6FC55778" w14:textId="77777777" w:rsidR="00606419" w:rsidRPr="005D275C" w:rsidRDefault="00606419" w:rsidP="00606419">
      <w:pPr>
        <w:pStyle w:val="ListParagraph"/>
        <w:numPr>
          <w:ilvl w:val="0"/>
          <w:numId w:val="20"/>
        </w:numPr>
        <w:spacing w:before="120" w:after="120"/>
        <w:jc w:val="both"/>
        <w:rPr>
          <w:rFonts w:asciiTheme="minorHAnsi" w:hAnsiTheme="minorHAnsi" w:cstheme="minorHAnsi"/>
          <w:sz w:val="22"/>
          <w:szCs w:val="22"/>
        </w:rPr>
      </w:pPr>
      <w:r w:rsidRPr="005D275C">
        <w:rPr>
          <w:rFonts w:asciiTheme="minorHAnsi" w:hAnsiTheme="minorHAnsi" w:cstheme="minorHAnsi"/>
          <w:sz w:val="22"/>
          <w:szCs w:val="22"/>
        </w:rPr>
        <w:t>NEPC (through the Secretariat) recently became an official member of the Planning Board for the GEF 6 project in October, when the UNDP team was in Palau for the Inception Workshop.</w:t>
      </w:r>
    </w:p>
    <w:p w14:paraId="1100A3F6" w14:textId="48316673" w:rsidR="006031D6" w:rsidRPr="0043094B" w:rsidRDefault="006031D6" w:rsidP="005D275C">
      <w:pPr>
        <w:pStyle w:val="ListParagraph"/>
        <w:spacing w:before="120" w:after="120"/>
        <w:jc w:val="both"/>
        <w:rPr>
          <w:rFonts w:asciiTheme="minorHAnsi" w:hAnsiTheme="minorHAnsi" w:cstheme="minorHAnsi"/>
          <w:sz w:val="22"/>
          <w:szCs w:val="22"/>
        </w:rPr>
      </w:pPr>
    </w:p>
    <w:p w14:paraId="475EE737" w14:textId="77777777" w:rsidR="006031D6" w:rsidRPr="0043094B" w:rsidRDefault="00BB5D8E" w:rsidP="00A62BE5">
      <w:pPr>
        <w:spacing w:before="120" w:after="120"/>
        <w:jc w:val="both"/>
        <w:rPr>
          <w:rFonts w:cstheme="minorHAnsi"/>
        </w:rPr>
      </w:pPr>
      <w:r w:rsidRPr="0043094B">
        <w:rPr>
          <w:rFonts w:cstheme="minorHAnsi"/>
          <w:b/>
        </w:rPr>
        <w:lastRenderedPageBreak/>
        <w:t>Outcome 2:</w:t>
      </w:r>
      <w:r w:rsidRPr="0043094B">
        <w:rPr>
          <w:rFonts w:cstheme="minorHAnsi"/>
        </w:rPr>
        <w:t xml:space="preserve">  </w:t>
      </w:r>
      <w:r w:rsidR="0034755F" w:rsidRPr="0043094B">
        <w:rPr>
          <w:rFonts w:cstheme="minorHAnsi"/>
          <w:b/>
        </w:rPr>
        <w:t>Strengthened technical capacities for monitoring and evaluating the state of the environment.</w:t>
      </w:r>
      <w:r w:rsidR="00376891" w:rsidRPr="0043094B">
        <w:rPr>
          <w:rFonts w:cstheme="minorHAnsi"/>
          <w:b/>
        </w:rPr>
        <w:t xml:space="preserve">  </w:t>
      </w:r>
      <w:r w:rsidRPr="0043094B">
        <w:rPr>
          <w:rFonts w:cstheme="minorHAnsi"/>
        </w:rPr>
        <w:t xml:space="preserve">Outputs </w:t>
      </w:r>
      <w:r w:rsidR="003B788B" w:rsidRPr="0043094B">
        <w:rPr>
          <w:rFonts w:cstheme="minorHAnsi"/>
        </w:rPr>
        <w:t>produced here inv</w:t>
      </w:r>
      <w:r w:rsidRPr="0043094B">
        <w:rPr>
          <w:rFonts w:cstheme="minorHAnsi"/>
        </w:rPr>
        <w:t>olved an analysi</w:t>
      </w:r>
      <w:r w:rsidR="003B788B" w:rsidRPr="0043094B">
        <w:rPr>
          <w:rFonts w:cstheme="minorHAnsi"/>
        </w:rPr>
        <w:t>s of needed training, providing the</w:t>
      </w:r>
      <w:r w:rsidRPr="0043094B">
        <w:rPr>
          <w:rFonts w:cstheme="minorHAnsi"/>
        </w:rPr>
        <w:t xml:space="preserve"> requested Excel training to se</w:t>
      </w:r>
      <w:r w:rsidR="008B7C93" w:rsidRPr="0043094B">
        <w:rPr>
          <w:rFonts w:cstheme="minorHAnsi"/>
        </w:rPr>
        <w:t>veral key personnel; updating the</w:t>
      </w:r>
      <w:r w:rsidRPr="0043094B">
        <w:rPr>
          <w:rFonts w:cstheme="minorHAnsi"/>
        </w:rPr>
        <w:t xml:space="preserve"> </w:t>
      </w:r>
      <w:r w:rsidR="008B7C93" w:rsidRPr="0043094B">
        <w:rPr>
          <w:rFonts w:cstheme="minorHAnsi"/>
        </w:rPr>
        <w:t>Environmental Assessment</w:t>
      </w:r>
      <w:r w:rsidRPr="0043094B">
        <w:rPr>
          <w:rFonts w:cstheme="minorHAnsi"/>
        </w:rPr>
        <w:t xml:space="preserve"> database managed by the Environmental Quality Prot</w:t>
      </w:r>
      <w:r w:rsidR="008B7C93" w:rsidRPr="0043094B">
        <w:rPr>
          <w:rFonts w:cstheme="minorHAnsi"/>
        </w:rPr>
        <w:t xml:space="preserve">ection Board (EQPB) and developing PALARIS’ 5-Year Strategy and Action Plan (still in draft form).  Additional </w:t>
      </w:r>
      <w:r w:rsidRPr="0043094B">
        <w:rPr>
          <w:rFonts w:cstheme="minorHAnsi"/>
        </w:rPr>
        <w:t>progress consists of identifying information gaps to inter-agency data sharing and initiation of the development of data-sharing MOUs.</w:t>
      </w:r>
      <w:r w:rsidR="003B788B" w:rsidRPr="0043094B">
        <w:rPr>
          <w:rFonts w:cstheme="minorHAnsi"/>
        </w:rPr>
        <w:t xml:space="preserve">  </w:t>
      </w:r>
      <w:r w:rsidR="008D653D" w:rsidRPr="0043094B">
        <w:rPr>
          <w:rFonts w:cstheme="minorHAnsi"/>
        </w:rPr>
        <w:t xml:space="preserve">These outputs reflect improved capacity at both personnel and institutional, which make up the initial steps towards improving existing databases and information systems to a level that will enable better access to environmental data and information which is needed to improve </w:t>
      </w:r>
      <w:r w:rsidR="009B5BCC" w:rsidRPr="0043094B">
        <w:rPr>
          <w:rFonts w:cstheme="minorHAnsi"/>
        </w:rPr>
        <w:t>monitor</w:t>
      </w:r>
      <w:r w:rsidR="008D653D" w:rsidRPr="0043094B">
        <w:rPr>
          <w:rFonts w:cstheme="minorHAnsi"/>
        </w:rPr>
        <w:t>ing</w:t>
      </w:r>
      <w:r w:rsidR="009B5BCC" w:rsidRPr="0043094B">
        <w:rPr>
          <w:rFonts w:cstheme="minorHAnsi"/>
        </w:rPr>
        <w:t xml:space="preserve"> and report</w:t>
      </w:r>
      <w:r w:rsidR="008D653D" w:rsidRPr="0043094B">
        <w:rPr>
          <w:rFonts w:cstheme="minorHAnsi"/>
        </w:rPr>
        <w:t>ing</w:t>
      </w:r>
      <w:r w:rsidR="009B5BCC" w:rsidRPr="0043094B">
        <w:rPr>
          <w:rFonts w:cstheme="minorHAnsi"/>
        </w:rPr>
        <w:t xml:space="preserve"> on the state of the environment in Palau.</w:t>
      </w:r>
      <w:r w:rsidR="00376891" w:rsidRPr="0043094B">
        <w:rPr>
          <w:rFonts w:cstheme="minorHAnsi"/>
        </w:rPr>
        <w:t xml:space="preserve">  </w:t>
      </w:r>
    </w:p>
    <w:p w14:paraId="03031707" w14:textId="1ED9097E" w:rsidR="006031D6" w:rsidRPr="0043094B" w:rsidRDefault="006031D6" w:rsidP="0043094B">
      <w:pPr>
        <w:spacing w:before="120" w:after="120"/>
        <w:jc w:val="both"/>
        <w:rPr>
          <w:rFonts w:cstheme="minorHAnsi"/>
        </w:rPr>
      </w:pPr>
      <w:r w:rsidRPr="0043094B">
        <w:rPr>
          <w:rFonts w:cstheme="minorHAnsi"/>
          <w:b/>
        </w:rPr>
        <w:t>2018 Update</w:t>
      </w:r>
    </w:p>
    <w:p w14:paraId="16B0ECDB" w14:textId="50E295D8" w:rsidR="00BE68B1" w:rsidRPr="0043094B" w:rsidRDefault="00A326B5" w:rsidP="00A62BE5">
      <w:pPr>
        <w:pStyle w:val="ListParagraph"/>
        <w:numPr>
          <w:ilvl w:val="0"/>
          <w:numId w:val="21"/>
        </w:numPr>
        <w:spacing w:before="120" w:after="120"/>
        <w:jc w:val="both"/>
        <w:rPr>
          <w:rFonts w:asciiTheme="minorHAnsi" w:hAnsiTheme="minorHAnsi" w:cstheme="minorHAnsi"/>
          <w:sz w:val="22"/>
          <w:szCs w:val="22"/>
        </w:rPr>
      </w:pPr>
      <w:r w:rsidRPr="0043094B">
        <w:rPr>
          <w:rFonts w:asciiTheme="minorHAnsi" w:hAnsiTheme="minorHAnsi" w:cstheme="minorHAnsi"/>
          <w:sz w:val="22"/>
          <w:szCs w:val="22"/>
        </w:rPr>
        <w:t>NEPC bylaws and SOP were approved.</w:t>
      </w:r>
    </w:p>
    <w:p w14:paraId="691FC630" w14:textId="0FB1A64F" w:rsidR="006031D6" w:rsidRPr="0043094B" w:rsidRDefault="006031D6" w:rsidP="00A62BE5">
      <w:pPr>
        <w:pStyle w:val="ListParagraph"/>
        <w:numPr>
          <w:ilvl w:val="0"/>
          <w:numId w:val="21"/>
        </w:numPr>
        <w:spacing w:before="120" w:after="120"/>
        <w:jc w:val="both"/>
        <w:rPr>
          <w:rFonts w:asciiTheme="minorHAnsi" w:hAnsiTheme="minorHAnsi" w:cstheme="minorHAnsi"/>
          <w:sz w:val="22"/>
          <w:szCs w:val="22"/>
        </w:rPr>
      </w:pPr>
      <w:r w:rsidRPr="0043094B">
        <w:rPr>
          <w:rFonts w:asciiTheme="minorHAnsi" w:hAnsiTheme="minorHAnsi" w:cstheme="minorHAnsi"/>
          <w:sz w:val="22"/>
          <w:szCs w:val="22"/>
        </w:rPr>
        <w:t xml:space="preserve">An updated 5-year Strategic Plan </w:t>
      </w:r>
      <w:r w:rsidR="00A326B5" w:rsidRPr="0043094B">
        <w:rPr>
          <w:rFonts w:asciiTheme="minorHAnsi" w:hAnsiTheme="minorHAnsi" w:cstheme="minorHAnsi"/>
          <w:sz w:val="22"/>
          <w:szCs w:val="22"/>
        </w:rPr>
        <w:t xml:space="preserve">and Action Plan </w:t>
      </w:r>
      <w:r w:rsidRPr="0043094B">
        <w:rPr>
          <w:rFonts w:asciiTheme="minorHAnsi" w:hAnsiTheme="minorHAnsi" w:cstheme="minorHAnsi"/>
          <w:sz w:val="22"/>
          <w:szCs w:val="22"/>
        </w:rPr>
        <w:t>f</w:t>
      </w:r>
      <w:r w:rsidR="00A326B5" w:rsidRPr="0043094B">
        <w:rPr>
          <w:rFonts w:asciiTheme="minorHAnsi" w:hAnsiTheme="minorHAnsi" w:cstheme="minorHAnsi"/>
          <w:sz w:val="22"/>
          <w:szCs w:val="22"/>
        </w:rPr>
        <w:t xml:space="preserve">or PALARIS </w:t>
      </w:r>
      <w:r w:rsidR="00DB284D" w:rsidRPr="0043094B">
        <w:rPr>
          <w:rFonts w:asciiTheme="minorHAnsi" w:hAnsiTheme="minorHAnsi" w:cstheme="minorHAnsi"/>
          <w:sz w:val="22"/>
          <w:szCs w:val="22"/>
        </w:rPr>
        <w:t xml:space="preserve">(Palau Automated Land and Resource Information System) </w:t>
      </w:r>
      <w:r w:rsidR="00A326B5" w:rsidRPr="0043094B">
        <w:rPr>
          <w:rFonts w:asciiTheme="minorHAnsi" w:hAnsiTheme="minorHAnsi" w:cstheme="minorHAnsi"/>
          <w:sz w:val="22"/>
          <w:szCs w:val="22"/>
        </w:rPr>
        <w:t xml:space="preserve">have been </w:t>
      </w:r>
      <w:r w:rsidRPr="0043094B">
        <w:rPr>
          <w:rFonts w:asciiTheme="minorHAnsi" w:hAnsiTheme="minorHAnsi" w:cstheme="minorHAnsi"/>
          <w:sz w:val="22"/>
          <w:szCs w:val="22"/>
        </w:rPr>
        <w:t>completed.</w:t>
      </w:r>
    </w:p>
    <w:p w14:paraId="528F5C29" w14:textId="4A089DEA" w:rsidR="00DB284D" w:rsidRPr="0043094B" w:rsidRDefault="00DB284D" w:rsidP="00A62BE5">
      <w:pPr>
        <w:pStyle w:val="ListParagraph"/>
        <w:numPr>
          <w:ilvl w:val="0"/>
          <w:numId w:val="21"/>
        </w:numPr>
        <w:spacing w:before="120" w:after="120"/>
        <w:jc w:val="both"/>
        <w:rPr>
          <w:rFonts w:asciiTheme="minorHAnsi" w:hAnsiTheme="minorHAnsi" w:cstheme="minorHAnsi"/>
          <w:sz w:val="22"/>
          <w:szCs w:val="22"/>
        </w:rPr>
      </w:pPr>
      <w:r w:rsidRPr="0043094B">
        <w:rPr>
          <w:rFonts w:asciiTheme="minorHAnsi" w:hAnsiTheme="minorHAnsi" w:cstheme="minorHAnsi"/>
          <w:sz w:val="22"/>
          <w:szCs w:val="22"/>
        </w:rPr>
        <w:t>EQPB’s (Environmental Quality Protection Board) EIA database has been updated by PALARIS’ personnel.</w:t>
      </w:r>
    </w:p>
    <w:p w14:paraId="7F4E61B4" w14:textId="609674E9" w:rsidR="006031D6" w:rsidRPr="0043094B" w:rsidRDefault="006031D6" w:rsidP="00A62BE5">
      <w:pPr>
        <w:pStyle w:val="ListParagraph"/>
        <w:numPr>
          <w:ilvl w:val="0"/>
          <w:numId w:val="21"/>
        </w:numPr>
        <w:spacing w:before="120" w:after="120"/>
        <w:jc w:val="both"/>
        <w:rPr>
          <w:rFonts w:asciiTheme="minorHAnsi" w:hAnsiTheme="minorHAnsi" w:cstheme="minorHAnsi"/>
          <w:sz w:val="22"/>
          <w:szCs w:val="22"/>
        </w:rPr>
      </w:pPr>
      <w:r w:rsidRPr="0043094B">
        <w:rPr>
          <w:rFonts w:asciiTheme="minorHAnsi" w:hAnsiTheme="minorHAnsi" w:cstheme="minorHAnsi"/>
          <w:sz w:val="22"/>
          <w:szCs w:val="22"/>
        </w:rPr>
        <w:t>2</w:t>
      </w:r>
      <w:r w:rsidRPr="0043094B">
        <w:rPr>
          <w:rFonts w:asciiTheme="minorHAnsi" w:hAnsiTheme="minorHAnsi" w:cstheme="minorHAnsi"/>
          <w:sz w:val="22"/>
          <w:szCs w:val="22"/>
          <w:vertAlign w:val="superscript"/>
        </w:rPr>
        <w:t>nd</w:t>
      </w:r>
      <w:r w:rsidR="00A326B5" w:rsidRPr="0043094B">
        <w:rPr>
          <w:rFonts w:asciiTheme="minorHAnsi" w:hAnsiTheme="minorHAnsi" w:cstheme="minorHAnsi"/>
          <w:sz w:val="22"/>
          <w:szCs w:val="22"/>
        </w:rPr>
        <w:t xml:space="preserve"> NES was held on Sept 28</w:t>
      </w:r>
      <w:r w:rsidRPr="0043094B">
        <w:rPr>
          <w:rFonts w:asciiTheme="minorHAnsi" w:hAnsiTheme="minorHAnsi" w:cstheme="minorHAnsi"/>
          <w:sz w:val="22"/>
          <w:szCs w:val="22"/>
        </w:rPr>
        <w:t xml:space="preserve">, </w:t>
      </w:r>
      <w:r w:rsidR="00A326B5" w:rsidRPr="0043094B">
        <w:rPr>
          <w:rFonts w:asciiTheme="minorHAnsi" w:hAnsiTheme="minorHAnsi" w:cstheme="minorHAnsi"/>
          <w:sz w:val="22"/>
          <w:szCs w:val="22"/>
        </w:rPr>
        <w:t xml:space="preserve">followed with a Leadership Presentation </w:t>
      </w:r>
      <w:r w:rsidRPr="0043094B">
        <w:rPr>
          <w:rFonts w:asciiTheme="minorHAnsi" w:hAnsiTheme="minorHAnsi" w:cstheme="minorHAnsi"/>
          <w:sz w:val="22"/>
          <w:szCs w:val="22"/>
        </w:rPr>
        <w:t>which also produced several identified environment-related policy, implementation and information management gaps.  Some of these gaps will be presented by the Minister of Natural Resources, Environment, and Tourism, Hon. F. Umiich Sengebau, at the upcoming Mechesil Belau Conference.  This is an annual conference hosted and organized by Palau’s traditional female leaders and this 25</w:t>
      </w:r>
      <w:r w:rsidRPr="0043094B">
        <w:rPr>
          <w:rFonts w:asciiTheme="minorHAnsi" w:hAnsiTheme="minorHAnsi" w:cstheme="minorHAnsi"/>
          <w:sz w:val="22"/>
          <w:szCs w:val="22"/>
          <w:vertAlign w:val="superscript"/>
        </w:rPr>
        <w:t>th</w:t>
      </w:r>
      <w:r w:rsidRPr="0043094B">
        <w:rPr>
          <w:rFonts w:asciiTheme="minorHAnsi" w:hAnsiTheme="minorHAnsi" w:cstheme="minorHAnsi"/>
          <w:sz w:val="22"/>
          <w:szCs w:val="22"/>
        </w:rPr>
        <w:t xml:space="preserve"> year, it has become one of the biggest national events in Palau.</w:t>
      </w:r>
      <w:r w:rsidR="001F6785" w:rsidRPr="0043094B">
        <w:rPr>
          <w:rFonts w:asciiTheme="minorHAnsi" w:hAnsiTheme="minorHAnsi" w:cstheme="minorHAnsi"/>
          <w:sz w:val="22"/>
          <w:szCs w:val="22"/>
        </w:rPr>
        <w:t xml:space="preserve">  (See attached 2</w:t>
      </w:r>
      <w:r w:rsidR="001F6785" w:rsidRPr="0043094B">
        <w:rPr>
          <w:rFonts w:asciiTheme="minorHAnsi" w:hAnsiTheme="minorHAnsi" w:cstheme="minorHAnsi"/>
          <w:sz w:val="22"/>
          <w:szCs w:val="22"/>
          <w:vertAlign w:val="superscript"/>
        </w:rPr>
        <w:t>nd</w:t>
      </w:r>
      <w:r w:rsidR="001F6785" w:rsidRPr="0043094B">
        <w:rPr>
          <w:rFonts w:asciiTheme="minorHAnsi" w:hAnsiTheme="minorHAnsi" w:cstheme="minorHAnsi"/>
          <w:sz w:val="22"/>
          <w:szCs w:val="22"/>
        </w:rPr>
        <w:t xml:space="preserve"> NES program and other associated documents).</w:t>
      </w:r>
      <w:r w:rsidR="00A326B5" w:rsidRPr="0043094B">
        <w:rPr>
          <w:rFonts w:asciiTheme="minorHAnsi" w:hAnsiTheme="minorHAnsi" w:cstheme="minorHAnsi"/>
          <w:sz w:val="22"/>
          <w:szCs w:val="22"/>
        </w:rPr>
        <w:t xml:space="preserve">  2</w:t>
      </w:r>
      <w:r w:rsidR="00A326B5" w:rsidRPr="0043094B">
        <w:rPr>
          <w:rFonts w:asciiTheme="minorHAnsi" w:hAnsiTheme="minorHAnsi" w:cstheme="minorHAnsi"/>
          <w:sz w:val="22"/>
          <w:szCs w:val="22"/>
          <w:vertAlign w:val="superscript"/>
        </w:rPr>
        <w:t>nd</w:t>
      </w:r>
      <w:r w:rsidR="00A326B5" w:rsidRPr="0043094B">
        <w:rPr>
          <w:rFonts w:asciiTheme="minorHAnsi" w:hAnsiTheme="minorHAnsi" w:cstheme="minorHAnsi"/>
          <w:sz w:val="22"/>
          <w:szCs w:val="22"/>
        </w:rPr>
        <w:t xml:space="preserve"> NES report will be in the form of videos and a printed report.  2</w:t>
      </w:r>
      <w:r w:rsidR="00A326B5" w:rsidRPr="0043094B">
        <w:rPr>
          <w:rFonts w:asciiTheme="minorHAnsi" w:hAnsiTheme="minorHAnsi" w:cstheme="minorHAnsi"/>
          <w:sz w:val="22"/>
          <w:szCs w:val="22"/>
          <w:vertAlign w:val="superscript"/>
        </w:rPr>
        <w:t>nd</w:t>
      </w:r>
      <w:r w:rsidR="00A326B5" w:rsidRPr="0043094B">
        <w:rPr>
          <w:rFonts w:asciiTheme="minorHAnsi" w:hAnsiTheme="minorHAnsi" w:cstheme="minorHAnsi"/>
          <w:sz w:val="22"/>
          <w:szCs w:val="22"/>
        </w:rPr>
        <w:t xml:space="preserve"> NES conference package included:  a) 1</w:t>
      </w:r>
      <w:r w:rsidR="00A326B5" w:rsidRPr="0043094B">
        <w:rPr>
          <w:rFonts w:asciiTheme="minorHAnsi" w:hAnsiTheme="minorHAnsi" w:cstheme="minorHAnsi"/>
          <w:sz w:val="22"/>
          <w:szCs w:val="22"/>
          <w:vertAlign w:val="superscript"/>
        </w:rPr>
        <w:t>st</w:t>
      </w:r>
      <w:r w:rsidR="00A326B5" w:rsidRPr="0043094B">
        <w:rPr>
          <w:rFonts w:asciiTheme="minorHAnsi" w:hAnsiTheme="minorHAnsi" w:cstheme="minorHAnsi"/>
          <w:sz w:val="22"/>
          <w:szCs w:val="22"/>
        </w:rPr>
        <w:t xml:space="preserve"> NES Report; b) USB containing all presentations’ abstracts and ppt presentations; c) folder with note pads, pen, 2</w:t>
      </w:r>
      <w:r w:rsidR="00A326B5" w:rsidRPr="0043094B">
        <w:rPr>
          <w:rFonts w:asciiTheme="minorHAnsi" w:hAnsiTheme="minorHAnsi" w:cstheme="minorHAnsi"/>
          <w:sz w:val="22"/>
          <w:szCs w:val="22"/>
          <w:vertAlign w:val="superscript"/>
        </w:rPr>
        <w:t>nd</w:t>
      </w:r>
      <w:r w:rsidR="00A326B5" w:rsidRPr="0043094B">
        <w:rPr>
          <w:rFonts w:asciiTheme="minorHAnsi" w:hAnsiTheme="minorHAnsi" w:cstheme="minorHAnsi"/>
          <w:sz w:val="22"/>
          <w:szCs w:val="22"/>
        </w:rPr>
        <w:t xml:space="preserve"> NES program, and Question Cards; and d) Double-insulated flasks with “2</w:t>
      </w:r>
      <w:r w:rsidR="00A326B5" w:rsidRPr="0043094B">
        <w:rPr>
          <w:rFonts w:asciiTheme="minorHAnsi" w:hAnsiTheme="minorHAnsi" w:cstheme="minorHAnsi"/>
          <w:sz w:val="22"/>
          <w:szCs w:val="22"/>
          <w:vertAlign w:val="superscript"/>
        </w:rPr>
        <w:t>nd</w:t>
      </w:r>
      <w:r w:rsidR="00A326B5" w:rsidRPr="0043094B">
        <w:rPr>
          <w:rFonts w:asciiTheme="minorHAnsi" w:hAnsiTheme="minorHAnsi" w:cstheme="minorHAnsi"/>
          <w:sz w:val="22"/>
          <w:szCs w:val="22"/>
        </w:rPr>
        <w:t xml:space="preserve"> NES” and “Environment-Health Nexus” written on each one.  For the pre-registered participants, their flasks were personalized with their first names written on them.</w:t>
      </w:r>
    </w:p>
    <w:p w14:paraId="32A4B21B" w14:textId="4C9A65D0" w:rsidR="00A326B5" w:rsidRPr="0043094B" w:rsidRDefault="006031D6" w:rsidP="00A62BE5">
      <w:pPr>
        <w:pStyle w:val="ListParagraph"/>
        <w:numPr>
          <w:ilvl w:val="0"/>
          <w:numId w:val="21"/>
        </w:numPr>
        <w:spacing w:before="120" w:after="120"/>
        <w:jc w:val="both"/>
        <w:rPr>
          <w:rFonts w:asciiTheme="minorHAnsi" w:hAnsiTheme="minorHAnsi" w:cstheme="minorHAnsi"/>
          <w:sz w:val="22"/>
          <w:szCs w:val="22"/>
        </w:rPr>
      </w:pPr>
      <w:r w:rsidRPr="0043094B">
        <w:rPr>
          <w:rFonts w:asciiTheme="minorHAnsi" w:hAnsiTheme="minorHAnsi" w:cstheme="minorHAnsi"/>
          <w:sz w:val="22"/>
          <w:szCs w:val="22"/>
        </w:rPr>
        <w:t>IT consultant has been finally secured to work with PALARIS on the Central Database design.  Due to a new GEF-funded project with SPREP (Inform Project), Palau’s CB2 project will utilize the database already designed through Inform project so this IT consultant will focus more on working with PALARIS to improve their existing data management.</w:t>
      </w:r>
    </w:p>
    <w:p w14:paraId="1DCD23F0" w14:textId="7BD05674" w:rsidR="002466A7" w:rsidRPr="0043094B" w:rsidRDefault="001504B0" w:rsidP="0043094B">
      <w:pPr>
        <w:spacing w:before="120" w:after="120"/>
        <w:jc w:val="both"/>
        <w:rPr>
          <w:rFonts w:cstheme="minorHAnsi"/>
        </w:rPr>
      </w:pPr>
      <w:r w:rsidRPr="0043094B">
        <w:rPr>
          <w:rFonts w:cstheme="minorHAnsi"/>
          <w:b/>
        </w:rPr>
        <w:t xml:space="preserve">Outcome 3:  </w:t>
      </w:r>
      <w:r w:rsidR="002466A7" w:rsidRPr="0043094B">
        <w:rPr>
          <w:rFonts w:cstheme="minorHAnsi"/>
          <w:b/>
        </w:rPr>
        <w:t>Improved decision-making mechanisms for the global environment institutionalized.</w:t>
      </w:r>
      <w:r w:rsidR="00433D93" w:rsidRPr="0043094B">
        <w:rPr>
          <w:rFonts w:cstheme="minorHAnsi"/>
          <w:b/>
        </w:rPr>
        <w:t xml:space="preserve"> </w:t>
      </w:r>
      <w:r w:rsidR="00433D93" w:rsidRPr="0043094B">
        <w:rPr>
          <w:rFonts w:cstheme="minorHAnsi"/>
        </w:rPr>
        <w:t xml:space="preserve"> </w:t>
      </w:r>
      <w:r w:rsidR="00C33BB8" w:rsidRPr="0043094B">
        <w:rPr>
          <w:rFonts w:cstheme="minorHAnsi"/>
        </w:rPr>
        <w:t>An institutional evaluation of the National Environmental Protection Council (</w:t>
      </w:r>
      <w:r w:rsidRPr="0043094B">
        <w:rPr>
          <w:rFonts w:cstheme="minorHAnsi"/>
        </w:rPr>
        <w:t>NEPC</w:t>
      </w:r>
      <w:r w:rsidR="00C33BB8" w:rsidRPr="0043094B">
        <w:rPr>
          <w:rFonts w:cstheme="minorHAnsi"/>
        </w:rPr>
        <w:t>) was completed with recommendations for improvement which will guide the development of NEPC’s Internal Operational Guide.</w:t>
      </w:r>
      <w:r w:rsidR="00DA6EE5" w:rsidRPr="0043094B">
        <w:rPr>
          <w:rFonts w:cstheme="minorHAnsi"/>
        </w:rPr>
        <w:t xml:space="preserve"> </w:t>
      </w:r>
    </w:p>
    <w:p w14:paraId="7B29F33B" w14:textId="79A6FB33" w:rsidR="00402984" w:rsidRPr="0043094B" w:rsidRDefault="00E605DC" w:rsidP="0043094B">
      <w:pPr>
        <w:jc w:val="both"/>
        <w:rPr>
          <w:rFonts w:cstheme="minorHAnsi"/>
        </w:rPr>
      </w:pPr>
      <w:r w:rsidRPr="00A62BE5">
        <w:rPr>
          <w:rFonts w:cstheme="minorHAnsi"/>
        </w:rPr>
        <w:t xml:space="preserve">Inter-agency effort (i.e., partnership) has been the core foundation in producing all the completed outputs for this project, with no discrimination of sex or gender of agency representatives.  </w:t>
      </w:r>
      <w:r w:rsidR="008834D4" w:rsidRPr="0043094B">
        <w:rPr>
          <w:rFonts w:cstheme="minorHAnsi"/>
        </w:rPr>
        <w:t xml:space="preserve">Challenges encountered this year have primarily be limited key staffs’ capacity to implement all intended activities (e.g., development of data-sharing MOUs and hiring of a database designer) in time, due to several other responsibilities for the Bureau of Budget and Planning.  Lessons learned from this is to acknowledge the shortage of staff and the difficulty of hiring additional staff, and then re-prioritize and possibly delegate some of the Bureau’s responsibilities to other agencies.  </w:t>
      </w:r>
    </w:p>
    <w:p w14:paraId="50759E06" w14:textId="77777777" w:rsidR="006031D6" w:rsidRPr="0043094B" w:rsidRDefault="006031D6" w:rsidP="0043094B">
      <w:pPr>
        <w:spacing w:before="120" w:after="120"/>
        <w:jc w:val="both"/>
        <w:rPr>
          <w:rFonts w:cstheme="minorHAnsi"/>
        </w:rPr>
      </w:pPr>
      <w:r w:rsidRPr="0043094B">
        <w:rPr>
          <w:rFonts w:cstheme="minorHAnsi"/>
          <w:b/>
        </w:rPr>
        <w:t>2018 Update</w:t>
      </w:r>
    </w:p>
    <w:p w14:paraId="074DD874" w14:textId="681BFCE4" w:rsidR="006031D6" w:rsidRPr="0043094B" w:rsidRDefault="00CD70CB" w:rsidP="0043094B">
      <w:pPr>
        <w:pStyle w:val="ListParagraph"/>
        <w:numPr>
          <w:ilvl w:val="0"/>
          <w:numId w:val="22"/>
        </w:numPr>
        <w:jc w:val="both"/>
        <w:rPr>
          <w:rFonts w:asciiTheme="minorHAnsi" w:hAnsiTheme="minorHAnsi" w:cstheme="minorHAnsi"/>
          <w:sz w:val="22"/>
          <w:szCs w:val="22"/>
        </w:rPr>
      </w:pPr>
      <w:r w:rsidRPr="0043094B">
        <w:rPr>
          <w:rFonts w:asciiTheme="minorHAnsi" w:hAnsiTheme="minorHAnsi" w:cstheme="minorHAnsi"/>
          <w:sz w:val="22"/>
          <w:szCs w:val="22"/>
        </w:rPr>
        <w:t>The IT specialist has been secured</w:t>
      </w:r>
      <w:r w:rsidR="008D0834" w:rsidRPr="0043094B">
        <w:rPr>
          <w:rFonts w:asciiTheme="minorHAnsi" w:hAnsiTheme="minorHAnsi" w:cstheme="minorHAnsi"/>
          <w:sz w:val="22"/>
          <w:szCs w:val="22"/>
        </w:rPr>
        <w:t xml:space="preserve"> and will be in Palau for two months (September 30 - November 30).</w:t>
      </w:r>
    </w:p>
    <w:p w14:paraId="794AAB7E" w14:textId="53AF6C9F" w:rsidR="00CD70CB" w:rsidRPr="0043094B" w:rsidRDefault="00810347" w:rsidP="0043094B">
      <w:pPr>
        <w:pStyle w:val="ListParagraph"/>
        <w:numPr>
          <w:ilvl w:val="0"/>
          <w:numId w:val="22"/>
        </w:numPr>
        <w:jc w:val="both"/>
        <w:rPr>
          <w:rFonts w:asciiTheme="minorHAnsi" w:hAnsiTheme="minorHAnsi" w:cstheme="minorHAnsi"/>
          <w:sz w:val="22"/>
          <w:szCs w:val="22"/>
        </w:rPr>
      </w:pPr>
      <w:r w:rsidRPr="0043094B">
        <w:rPr>
          <w:rFonts w:asciiTheme="minorHAnsi" w:hAnsiTheme="minorHAnsi" w:cstheme="minorHAnsi"/>
          <w:sz w:val="22"/>
          <w:szCs w:val="22"/>
        </w:rPr>
        <w:t>The Central Database will no longer be</w:t>
      </w:r>
      <w:r w:rsidR="00CD70CB" w:rsidRPr="0043094B">
        <w:rPr>
          <w:rFonts w:asciiTheme="minorHAnsi" w:hAnsiTheme="minorHAnsi" w:cstheme="minorHAnsi"/>
          <w:sz w:val="22"/>
          <w:szCs w:val="22"/>
        </w:rPr>
        <w:t xml:space="preserve"> designed from scratch, as planned.  We are running out of time and needed this Central Database to help us prepare for and develop the 2</w:t>
      </w:r>
      <w:r w:rsidR="00CD70CB" w:rsidRPr="0043094B">
        <w:rPr>
          <w:rFonts w:asciiTheme="minorHAnsi" w:hAnsiTheme="minorHAnsi" w:cstheme="minorHAnsi"/>
          <w:sz w:val="22"/>
          <w:szCs w:val="22"/>
          <w:vertAlign w:val="superscript"/>
        </w:rPr>
        <w:t>nd</w:t>
      </w:r>
      <w:r w:rsidR="00CD70CB" w:rsidRPr="0043094B">
        <w:rPr>
          <w:rFonts w:asciiTheme="minorHAnsi" w:hAnsiTheme="minorHAnsi" w:cstheme="minorHAnsi"/>
          <w:sz w:val="22"/>
          <w:szCs w:val="22"/>
        </w:rPr>
        <w:t xml:space="preserve"> State of the Environment Report, which ideally should be completed in draft form by December this year.  This will allow NEPC members and key partners to review the draft and finalize the report by April</w:t>
      </w:r>
      <w:r w:rsidR="007E1577" w:rsidRPr="0043094B">
        <w:rPr>
          <w:rFonts w:asciiTheme="minorHAnsi" w:hAnsiTheme="minorHAnsi" w:cstheme="minorHAnsi"/>
          <w:sz w:val="22"/>
          <w:szCs w:val="22"/>
        </w:rPr>
        <w:t xml:space="preserve"> 2019</w:t>
      </w:r>
      <w:r w:rsidR="00CD70CB" w:rsidRPr="0043094B">
        <w:rPr>
          <w:rFonts w:asciiTheme="minorHAnsi" w:hAnsiTheme="minorHAnsi" w:cstheme="minorHAnsi"/>
          <w:sz w:val="22"/>
          <w:szCs w:val="22"/>
        </w:rPr>
        <w:t>, in time for the President’s State of the Republic Address (SORA)</w:t>
      </w:r>
      <w:r w:rsidR="007E1577" w:rsidRPr="0043094B">
        <w:rPr>
          <w:rFonts w:asciiTheme="minorHAnsi" w:hAnsiTheme="minorHAnsi" w:cstheme="minorHAnsi"/>
          <w:sz w:val="22"/>
          <w:szCs w:val="22"/>
        </w:rPr>
        <w:t>.</w:t>
      </w:r>
    </w:p>
    <w:p w14:paraId="6F90780C" w14:textId="76E4DA80" w:rsidR="00CD70CB" w:rsidRPr="0043094B" w:rsidRDefault="00CD70CB" w:rsidP="0043094B">
      <w:pPr>
        <w:pStyle w:val="ListParagraph"/>
        <w:numPr>
          <w:ilvl w:val="0"/>
          <w:numId w:val="22"/>
        </w:numPr>
        <w:jc w:val="both"/>
        <w:rPr>
          <w:rFonts w:asciiTheme="minorHAnsi" w:hAnsiTheme="minorHAnsi" w:cstheme="minorHAnsi"/>
          <w:sz w:val="22"/>
          <w:szCs w:val="22"/>
        </w:rPr>
      </w:pPr>
      <w:r w:rsidRPr="0043094B">
        <w:rPr>
          <w:rFonts w:asciiTheme="minorHAnsi" w:hAnsiTheme="minorHAnsi" w:cstheme="minorHAnsi"/>
          <w:sz w:val="22"/>
          <w:szCs w:val="22"/>
        </w:rPr>
        <w:lastRenderedPageBreak/>
        <w:t>Instead of designing the Central Database, we will utilize an existing, recently completed database from Inform Project, implemented by SPREP.  SPREP personnel visited Palau last August and showed us what they have completed and the design meets our objectives of being able to enter relevant information that will feed into the next SOE and other CBD-related reports.</w:t>
      </w:r>
      <w:r w:rsidR="007E3CB0" w:rsidRPr="0043094B">
        <w:rPr>
          <w:rFonts w:asciiTheme="minorHAnsi" w:hAnsiTheme="minorHAnsi" w:cstheme="minorHAnsi"/>
          <w:sz w:val="22"/>
          <w:szCs w:val="22"/>
        </w:rPr>
        <w:t xml:space="preserve">  </w:t>
      </w:r>
      <w:r w:rsidR="008D18BC">
        <w:rPr>
          <w:rFonts w:asciiTheme="minorHAnsi" w:hAnsiTheme="minorHAnsi" w:cstheme="minorHAnsi"/>
          <w:sz w:val="22"/>
          <w:szCs w:val="22"/>
        </w:rPr>
        <w:t>The current plan is to use as much information as possible from the database for the 2</w:t>
      </w:r>
      <w:r w:rsidR="008D18BC" w:rsidRPr="008D18BC">
        <w:rPr>
          <w:rFonts w:asciiTheme="minorHAnsi" w:hAnsiTheme="minorHAnsi" w:cstheme="minorHAnsi"/>
          <w:sz w:val="22"/>
          <w:szCs w:val="22"/>
          <w:vertAlign w:val="superscript"/>
        </w:rPr>
        <w:t>nd</w:t>
      </w:r>
      <w:r w:rsidR="008D18BC">
        <w:rPr>
          <w:rFonts w:asciiTheme="minorHAnsi" w:hAnsiTheme="minorHAnsi" w:cstheme="minorHAnsi"/>
          <w:sz w:val="22"/>
          <w:szCs w:val="22"/>
        </w:rPr>
        <w:t xml:space="preserve"> SOE, even without the training and use the support from SPRAP staff. The training timeframe is </w:t>
      </w:r>
      <w:r w:rsidR="00B02538">
        <w:rPr>
          <w:rFonts w:asciiTheme="minorHAnsi" w:hAnsiTheme="minorHAnsi" w:cstheme="minorHAnsi"/>
          <w:sz w:val="22"/>
          <w:szCs w:val="22"/>
        </w:rPr>
        <w:t>to be decided soon.</w:t>
      </w:r>
    </w:p>
    <w:p w14:paraId="27656238" w14:textId="0920C6FE" w:rsidR="00EA4761" w:rsidRPr="0043094B" w:rsidRDefault="007E3CB0" w:rsidP="0043094B">
      <w:pPr>
        <w:pStyle w:val="ListParagraph"/>
        <w:numPr>
          <w:ilvl w:val="0"/>
          <w:numId w:val="22"/>
        </w:numPr>
        <w:jc w:val="both"/>
        <w:rPr>
          <w:rFonts w:asciiTheme="minorHAnsi" w:hAnsiTheme="minorHAnsi" w:cstheme="minorHAnsi"/>
          <w:sz w:val="22"/>
          <w:szCs w:val="22"/>
        </w:rPr>
        <w:sectPr w:rsidR="00EA4761" w:rsidRPr="0043094B" w:rsidSect="00C63987">
          <w:pgSz w:w="12240" w:h="15840"/>
          <w:pgMar w:top="720" w:right="1080" w:bottom="720" w:left="720" w:header="720" w:footer="720" w:gutter="0"/>
          <w:cols w:space="720"/>
          <w:docGrid w:linePitch="360"/>
        </w:sectPr>
      </w:pPr>
      <w:r w:rsidRPr="0043094B">
        <w:rPr>
          <w:rFonts w:asciiTheme="minorHAnsi" w:hAnsiTheme="minorHAnsi" w:cstheme="minorHAnsi"/>
          <w:sz w:val="22"/>
          <w:szCs w:val="22"/>
        </w:rPr>
        <w:t>With regards to limited staff capacity, in relation to our work demand (e.g., NEPC Secretariat duties and SDG localization efforts), progress made includes securing funding support from UNDP to hire a consultant to help us with the SDG localization work</w:t>
      </w:r>
      <w:r w:rsidR="00573253" w:rsidRPr="0043094B">
        <w:rPr>
          <w:rFonts w:asciiTheme="minorHAnsi" w:hAnsiTheme="minorHAnsi" w:cstheme="minorHAnsi"/>
          <w:sz w:val="22"/>
          <w:szCs w:val="22"/>
        </w:rPr>
        <w:t>, including preparations for Palau’s Voluntary National Review (VNR) presentation in 2019</w:t>
      </w:r>
      <w:r w:rsidRPr="0043094B">
        <w:rPr>
          <w:rFonts w:asciiTheme="minorHAnsi" w:hAnsiTheme="minorHAnsi" w:cstheme="minorHAnsi"/>
          <w:sz w:val="22"/>
          <w:szCs w:val="22"/>
        </w:rPr>
        <w:t xml:space="preserve">, as well as a new permanent staff expected to come on board in October.  </w:t>
      </w:r>
      <w:r w:rsidR="00B02538">
        <w:rPr>
          <w:rFonts w:asciiTheme="minorHAnsi" w:hAnsiTheme="minorHAnsi" w:cstheme="minorHAnsi"/>
          <w:sz w:val="22"/>
          <w:szCs w:val="22"/>
        </w:rPr>
        <w:t xml:space="preserve"> Hiring process is unfortunately delayed and  planned to start  in 2019.</w:t>
      </w:r>
    </w:p>
    <w:p w14:paraId="7342E547" w14:textId="01F8230D" w:rsidR="007E3CB0" w:rsidRPr="00CD70CB" w:rsidRDefault="007E3CB0" w:rsidP="00CD70CB">
      <w:pPr>
        <w:pStyle w:val="ListParagraph"/>
        <w:numPr>
          <w:ilvl w:val="0"/>
          <w:numId w:val="22"/>
        </w:numPr>
        <w:rPr>
          <w:sz w:val="22"/>
          <w:szCs w:val="22"/>
        </w:rPr>
      </w:pPr>
    </w:p>
    <w:p w14:paraId="051765BA" w14:textId="10B463E2" w:rsidR="005C0EE5" w:rsidRPr="005C0EE5" w:rsidRDefault="468716C7" w:rsidP="468716C7">
      <w:pPr>
        <w:pStyle w:val="Heading1"/>
        <w:rPr>
          <w:b/>
          <w:bCs/>
          <w:color w:val="auto"/>
        </w:rPr>
      </w:pPr>
      <w:r w:rsidRPr="468716C7">
        <w:rPr>
          <w:b/>
          <w:bCs/>
          <w:color w:val="auto"/>
        </w:rPr>
        <w:t>Implementation Progress</w:t>
      </w:r>
    </w:p>
    <w:p w14:paraId="6DA63189" w14:textId="77777777" w:rsidR="005C0EE5" w:rsidRDefault="005C0EE5" w:rsidP="005C0EE5">
      <w:pPr>
        <w:pStyle w:val="Heading2"/>
      </w:pPr>
    </w:p>
    <w:p w14:paraId="1BC751FA" w14:textId="12E20EC4" w:rsidR="00402984" w:rsidRPr="0084003D" w:rsidRDefault="468716C7" w:rsidP="468716C7">
      <w:pPr>
        <w:pStyle w:val="Heading2"/>
        <w:rPr>
          <w:rFonts w:asciiTheme="minorHAnsi" w:hAnsiTheme="minorHAnsi"/>
          <w:b/>
          <w:bCs/>
          <w:i/>
          <w:iCs/>
          <w:color w:val="auto"/>
          <w:u w:val="single"/>
        </w:rPr>
      </w:pPr>
      <w:r w:rsidRPr="0084003D">
        <w:rPr>
          <w:rFonts w:asciiTheme="minorHAnsi" w:hAnsiTheme="minorHAnsi"/>
          <w:b/>
          <w:bCs/>
          <w:i/>
          <w:iCs/>
          <w:color w:val="auto"/>
          <w:u w:val="single"/>
        </w:rPr>
        <w:t>Progress toward Development Objective:</w:t>
      </w:r>
    </w:p>
    <w:p w14:paraId="7ADC96C3" w14:textId="3A489C23" w:rsidR="00AA6728" w:rsidRPr="0084003D" w:rsidRDefault="00D073A3" w:rsidP="00AA6728">
      <w:pPr>
        <w:rPr>
          <w:i/>
          <w:sz w:val="20"/>
          <w:szCs w:val="20"/>
        </w:rPr>
      </w:pPr>
      <w:r w:rsidRPr="0084003D">
        <w:rPr>
          <w:rFonts w:cs="Helvetica"/>
          <w:i/>
          <w:color w:val="333333"/>
          <w:sz w:val="20"/>
          <w:szCs w:val="20"/>
          <w:shd w:val="clear" w:color="auto" w:fill="EEEEEE"/>
        </w:rPr>
        <w:t xml:space="preserve">For each indicator, the Project Manager should enter the cumulative progress since project start directly into the box in the far right column. </w:t>
      </w:r>
    </w:p>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97"/>
        <w:gridCol w:w="1440"/>
        <w:gridCol w:w="1643"/>
        <w:gridCol w:w="6997"/>
      </w:tblGrid>
      <w:tr w:rsidR="00AA6728" w:rsidRPr="00891152" w14:paraId="7D500998" w14:textId="77777777" w:rsidTr="000551C4">
        <w:trPr>
          <w:trHeight w:val="544"/>
          <w:tblHeader/>
        </w:trPr>
        <w:tc>
          <w:tcPr>
            <w:tcW w:w="1075" w:type="dxa"/>
            <w:shd w:val="clear" w:color="auto" w:fill="EEECE1"/>
          </w:tcPr>
          <w:p w14:paraId="7B90AA9A" w14:textId="77777777" w:rsidR="00AA6728" w:rsidRPr="0084003D" w:rsidRDefault="00AA6728" w:rsidP="00095CFB">
            <w:pPr>
              <w:jc w:val="center"/>
              <w:rPr>
                <w:rFonts w:cstheme="minorHAnsi"/>
                <w:b/>
                <w:bCs/>
                <w:sz w:val="18"/>
                <w:szCs w:val="18"/>
              </w:rPr>
            </w:pPr>
            <w:r w:rsidRPr="0084003D">
              <w:rPr>
                <w:rFonts w:cstheme="minorHAnsi"/>
                <w:b/>
                <w:bCs/>
                <w:sz w:val="18"/>
                <w:szCs w:val="18"/>
              </w:rPr>
              <w:t>Objectives and Outcomes</w:t>
            </w:r>
          </w:p>
        </w:tc>
        <w:tc>
          <w:tcPr>
            <w:tcW w:w="1597" w:type="dxa"/>
            <w:shd w:val="clear" w:color="auto" w:fill="EEECE1"/>
          </w:tcPr>
          <w:p w14:paraId="77EDC835" w14:textId="77777777" w:rsidR="00AA6728" w:rsidRPr="0084003D" w:rsidRDefault="00AA6728" w:rsidP="00095CFB">
            <w:pPr>
              <w:jc w:val="center"/>
              <w:rPr>
                <w:rFonts w:cstheme="minorHAnsi"/>
                <w:b/>
                <w:bCs/>
                <w:sz w:val="18"/>
                <w:szCs w:val="18"/>
              </w:rPr>
            </w:pPr>
            <w:r w:rsidRPr="0084003D">
              <w:rPr>
                <w:rFonts w:cstheme="minorHAnsi"/>
                <w:b/>
                <w:bCs/>
                <w:sz w:val="18"/>
                <w:szCs w:val="18"/>
              </w:rPr>
              <w:t>Indicator</w:t>
            </w:r>
          </w:p>
        </w:tc>
        <w:tc>
          <w:tcPr>
            <w:tcW w:w="1440" w:type="dxa"/>
            <w:shd w:val="clear" w:color="auto" w:fill="EEECE1"/>
          </w:tcPr>
          <w:p w14:paraId="7826999A" w14:textId="77777777" w:rsidR="00AA6728" w:rsidRPr="0084003D" w:rsidRDefault="00AA6728" w:rsidP="00095CFB">
            <w:pPr>
              <w:jc w:val="center"/>
              <w:rPr>
                <w:rFonts w:cstheme="minorHAnsi"/>
                <w:b/>
                <w:bCs/>
                <w:sz w:val="18"/>
                <w:szCs w:val="18"/>
              </w:rPr>
            </w:pPr>
            <w:r w:rsidRPr="0084003D">
              <w:rPr>
                <w:rFonts w:cstheme="minorHAnsi"/>
                <w:b/>
                <w:bCs/>
                <w:sz w:val="18"/>
                <w:szCs w:val="18"/>
              </w:rPr>
              <w:t>Baseline</w:t>
            </w:r>
          </w:p>
        </w:tc>
        <w:tc>
          <w:tcPr>
            <w:tcW w:w="1643" w:type="dxa"/>
            <w:shd w:val="clear" w:color="auto" w:fill="EEECE1"/>
          </w:tcPr>
          <w:p w14:paraId="7BDFAEFD" w14:textId="77777777" w:rsidR="00AA6728" w:rsidRPr="0084003D" w:rsidRDefault="00AA6728" w:rsidP="00095CFB">
            <w:pPr>
              <w:jc w:val="center"/>
              <w:rPr>
                <w:rFonts w:cstheme="minorHAnsi"/>
                <w:b/>
                <w:bCs/>
                <w:sz w:val="18"/>
                <w:szCs w:val="18"/>
              </w:rPr>
            </w:pPr>
            <w:r w:rsidRPr="0084003D">
              <w:rPr>
                <w:rFonts w:cstheme="minorHAnsi"/>
                <w:b/>
                <w:bCs/>
                <w:sz w:val="18"/>
                <w:szCs w:val="18"/>
              </w:rPr>
              <w:t xml:space="preserve">Targets </w:t>
            </w:r>
          </w:p>
          <w:p w14:paraId="4F491E77" w14:textId="77777777" w:rsidR="00AA6728" w:rsidRPr="0084003D" w:rsidRDefault="00AA6728" w:rsidP="00095CFB">
            <w:pPr>
              <w:jc w:val="center"/>
              <w:rPr>
                <w:rFonts w:cstheme="minorHAnsi"/>
                <w:b/>
                <w:bCs/>
                <w:sz w:val="18"/>
                <w:szCs w:val="18"/>
              </w:rPr>
            </w:pPr>
            <w:r w:rsidRPr="0084003D">
              <w:rPr>
                <w:rFonts w:cstheme="minorHAnsi"/>
                <w:b/>
                <w:bCs/>
                <w:sz w:val="18"/>
                <w:szCs w:val="18"/>
              </w:rPr>
              <w:t>End of Project</w:t>
            </w:r>
          </w:p>
        </w:tc>
        <w:tc>
          <w:tcPr>
            <w:tcW w:w="6997" w:type="dxa"/>
            <w:shd w:val="clear" w:color="auto" w:fill="EEECE1"/>
          </w:tcPr>
          <w:p w14:paraId="43228D21" w14:textId="33888831" w:rsidR="00AA6728" w:rsidRPr="0084003D" w:rsidRDefault="00AA6728" w:rsidP="00095CFB">
            <w:pPr>
              <w:jc w:val="center"/>
              <w:rPr>
                <w:rFonts w:cstheme="minorHAnsi"/>
                <w:b/>
                <w:bCs/>
                <w:sz w:val="18"/>
                <w:szCs w:val="18"/>
              </w:rPr>
            </w:pPr>
            <w:r w:rsidRPr="0084003D">
              <w:rPr>
                <w:rFonts w:cstheme="minorHAnsi"/>
                <w:b/>
                <w:bCs/>
                <w:sz w:val="18"/>
                <w:szCs w:val="18"/>
              </w:rPr>
              <w:t>Status of Implementation</w:t>
            </w:r>
          </w:p>
        </w:tc>
      </w:tr>
      <w:tr w:rsidR="00AA6728" w:rsidRPr="00891152" w14:paraId="56C5E107" w14:textId="77777777" w:rsidTr="000551C4">
        <w:tc>
          <w:tcPr>
            <w:tcW w:w="1075" w:type="dxa"/>
            <w:vMerge w:val="restart"/>
            <w:shd w:val="clear" w:color="auto" w:fill="auto"/>
          </w:tcPr>
          <w:p w14:paraId="028CFF76" w14:textId="77777777" w:rsidR="00AA6728" w:rsidRPr="0043094B" w:rsidRDefault="00AA6728" w:rsidP="00095CFB">
            <w:pPr>
              <w:pStyle w:val="para"/>
              <w:tabs>
                <w:tab w:val="clear" w:pos="720"/>
                <w:tab w:val="left" w:pos="167"/>
              </w:tabs>
              <w:spacing w:after="0"/>
              <w:ind w:right="-74"/>
              <w:jc w:val="left"/>
              <w:rPr>
                <w:rFonts w:asciiTheme="minorHAnsi" w:hAnsiTheme="minorHAnsi" w:cstheme="minorHAnsi"/>
                <w:b/>
                <w:sz w:val="18"/>
                <w:szCs w:val="18"/>
              </w:rPr>
            </w:pPr>
            <w:r w:rsidRPr="0043094B">
              <w:rPr>
                <w:rFonts w:asciiTheme="minorHAnsi" w:hAnsiTheme="minorHAnsi" w:cstheme="minorHAnsi"/>
                <w:b/>
                <w:sz w:val="18"/>
                <w:szCs w:val="18"/>
              </w:rPr>
              <w:t xml:space="preserve">Objective: </w:t>
            </w:r>
            <w:r w:rsidRPr="0043094B">
              <w:rPr>
                <w:rFonts w:asciiTheme="minorHAnsi" w:hAnsiTheme="minorHAnsi" w:cstheme="minorHAnsi"/>
                <w:sz w:val="18"/>
                <w:szCs w:val="18"/>
              </w:rPr>
              <w:t>to strengthen Palau's capacities to meet national and global environmental commitments through improved management of environmental data and information</w:t>
            </w:r>
          </w:p>
        </w:tc>
        <w:tc>
          <w:tcPr>
            <w:tcW w:w="1597" w:type="dxa"/>
          </w:tcPr>
          <w:p w14:paraId="7631136D"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Reported availability of better environmental information</w:t>
            </w:r>
          </w:p>
        </w:tc>
        <w:tc>
          <w:tcPr>
            <w:tcW w:w="1440" w:type="dxa"/>
          </w:tcPr>
          <w:p w14:paraId="53C33A54"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Collection and use of up-to-date environmental management information is ad-hoc and poorly coordinated</w:t>
            </w:r>
          </w:p>
        </w:tc>
        <w:tc>
          <w:tcPr>
            <w:tcW w:w="1643" w:type="dxa"/>
          </w:tcPr>
          <w:p w14:paraId="03A1917F"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Up-to-date environmental information is being used by policy-makers and also by the public</w:t>
            </w:r>
          </w:p>
        </w:tc>
        <w:tc>
          <w:tcPr>
            <w:tcW w:w="6997" w:type="dxa"/>
          </w:tcPr>
          <w:p w14:paraId="6E878364" w14:textId="3D962829" w:rsidR="00AA6728" w:rsidRPr="0043094B" w:rsidRDefault="00203720"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Tangible outputs attained (provided as Annexes)</w:t>
            </w:r>
          </w:p>
          <w:p w14:paraId="08F6B464" w14:textId="70DD1C07" w:rsidR="00FA55EC" w:rsidRPr="0043094B" w:rsidRDefault="003E49E1" w:rsidP="00FA55EC">
            <w:pPr>
              <w:pStyle w:val="ListParagraph"/>
              <w:numPr>
                <w:ilvl w:val="0"/>
                <w:numId w:val="8"/>
              </w:numPr>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5 </w:t>
            </w:r>
            <w:r w:rsidR="00FA55EC" w:rsidRPr="0043094B">
              <w:rPr>
                <w:rFonts w:asciiTheme="minorHAnsi" w:hAnsiTheme="minorHAnsi" w:cstheme="minorHAnsi"/>
                <w:bCs/>
                <w:sz w:val="18"/>
                <w:szCs w:val="18"/>
              </w:rPr>
              <w:t>Reports:</w:t>
            </w:r>
          </w:p>
          <w:p w14:paraId="020235BA" w14:textId="77777777" w:rsidR="00203720" w:rsidRPr="0043094B" w:rsidRDefault="00203720" w:rsidP="00203720">
            <w:pPr>
              <w:contextualSpacing/>
              <w:rPr>
                <w:rFonts w:cstheme="minorHAnsi"/>
                <w:bCs/>
                <w:sz w:val="18"/>
                <w:szCs w:val="18"/>
              </w:rPr>
            </w:pPr>
            <w:r w:rsidRPr="0043094B">
              <w:rPr>
                <w:rFonts w:cstheme="minorHAnsi"/>
                <w:bCs/>
                <w:sz w:val="18"/>
                <w:szCs w:val="18"/>
              </w:rPr>
              <w:t xml:space="preserve">Annex 1. </w:t>
            </w:r>
            <w:r w:rsidR="00FA55EC" w:rsidRPr="0043094B">
              <w:rPr>
                <w:rFonts w:cstheme="minorHAnsi"/>
                <w:bCs/>
                <w:sz w:val="18"/>
                <w:szCs w:val="18"/>
              </w:rPr>
              <w:t>Inventory of environmental information data sets</w:t>
            </w:r>
          </w:p>
          <w:p w14:paraId="1EAB2241" w14:textId="77777777" w:rsidR="00203720" w:rsidRPr="0043094B" w:rsidRDefault="00203720" w:rsidP="00203720">
            <w:pPr>
              <w:contextualSpacing/>
              <w:rPr>
                <w:rFonts w:cstheme="minorHAnsi"/>
                <w:bCs/>
                <w:sz w:val="18"/>
                <w:szCs w:val="18"/>
              </w:rPr>
            </w:pPr>
            <w:r w:rsidRPr="0043094B">
              <w:rPr>
                <w:rFonts w:cstheme="minorHAnsi"/>
                <w:bCs/>
                <w:sz w:val="18"/>
                <w:szCs w:val="18"/>
              </w:rPr>
              <w:t xml:space="preserve">Annex 2. </w:t>
            </w:r>
            <w:r w:rsidR="008F5BCD" w:rsidRPr="0043094B">
              <w:rPr>
                <w:rFonts w:cstheme="minorHAnsi"/>
                <w:bCs/>
                <w:sz w:val="18"/>
                <w:szCs w:val="18"/>
              </w:rPr>
              <w:t>Report on environmental information gaps, policy and legislative gaps, and environmental information needs of key stakeholders</w:t>
            </w:r>
          </w:p>
          <w:p w14:paraId="6A9BEBE5" w14:textId="77777777" w:rsidR="00203720" w:rsidRPr="0043094B" w:rsidRDefault="00203720" w:rsidP="00203720">
            <w:pPr>
              <w:contextualSpacing/>
              <w:rPr>
                <w:rFonts w:cstheme="minorHAnsi"/>
                <w:bCs/>
                <w:sz w:val="18"/>
                <w:szCs w:val="18"/>
              </w:rPr>
            </w:pPr>
            <w:r w:rsidRPr="0043094B">
              <w:rPr>
                <w:rFonts w:cstheme="minorHAnsi"/>
                <w:bCs/>
                <w:sz w:val="18"/>
                <w:szCs w:val="18"/>
              </w:rPr>
              <w:t xml:space="preserve">Annex 3.  </w:t>
            </w:r>
            <w:r w:rsidR="00FA55EC" w:rsidRPr="0043094B">
              <w:rPr>
                <w:rFonts w:cstheme="minorHAnsi"/>
                <w:bCs/>
                <w:sz w:val="18"/>
                <w:szCs w:val="18"/>
              </w:rPr>
              <w:t>Review and assessment of protocols for environmental data sharing and identification of environmental reporting obligations</w:t>
            </w:r>
          </w:p>
          <w:p w14:paraId="389F122D" w14:textId="3A695CD6" w:rsidR="008F5BCD" w:rsidRPr="0043094B" w:rsidRDefault="00203720" w:rsidP="00203720">
            <w:pPr>
              <w:contextualSpacing/>
              <w:rPr>
                <w:rFonts w:cstheme="minorHAnsi"/>
                <w:bCs/>
                <w:sz w:val="18"/>
                <w:szCs w:val="18"/>
              </w:rPr>
            </w:pPr>
            <w:r w:rsidRPr="0043094B">
              <w:rPr>
                <w:rFonts w:cstheme="minorHAnsi"/>
                <w:bCs/>
                <w:sz w:val="18"/>
                <w:szCs w:val="18"/>
              </w:rPr>
              <w:t xml:space="preserve">Annex 4.  </w:t>
            </w:r>
            <w:r w:rsidR="008F5BCD" w:rsidRPr="0043094B">
              <w:rPr>
                <w:rFonts w:cstheme="minorHAnsi"/>
                <w:bCs/>
                <w:sz w:val="18"/>
                <w:szCs w:val="18"/>
              </w:rPr>
              <w:t>NEPC 2016 Annual Review</w:t>
            </w:r>
          </w:p>
          <w:p w14:paraId="6325E144" w14:textId="164E6826" w:rsidR="00FA55EC" w:rsidRPr="0043094B" w:rsidRDefault="00203720" w:rsidP="00203720">
            <w:pPr>
              <w:contextualSpacing/>
              <w:rPr>
                <w:rFonts w:cstheme="minorHAnsi"/>
                <w:bCs/>
                <w:sz w:val="18"/>
                <w:szCs w:val="18"/>
              </w:rPr>
            </w:pPr>
            <w:r w:rsidRPr="0043094B">
              <w:rPr>
                <w:rFonts w:cstheme="minorHAnsi"/>
                <w:bCs/>
                <w:sz w:val="18"/>
                <w:szCs w:val="18"/>
              </w:rPr>
              <w:t xml:space="preserve">Annex 5.  </w:t>
            </w:r>
            <w:r w:rsidR="00FA55EC" w:rsidRPr="0043094B">
              <w:rPr>
                <w:rFonts w:cstheme="minorHAnsi"/>
                <w:bCs/>
                <w:sz w:val="18"/>
                <w:szCs w:val="18"/>
              </w:rPr>
              <w:t xml:space="preserve">Palau’s State of the Environment </w:t>
            </w:r>
            <w:r w:rsidR="00A5585F" w:rsidRPr="0043094B">
              <w:rPr>
                <w:rFonts w:cstheme="minorHAnsi"/>
                <w:bCs/>
                <w:sz w:val="18"/>
                <w:szCs w:val="18"/>
              </w:rPr>
              <w:t xml:space="preserve">(SOE) </w:t>
            </w:r>
            <w:r w:rsidR="00FA55EC" w:rsidRPr="0043094B">
              <w:rPr>
                <w:rFonts w:cstheme="minorHAnsi"/>
                <w:bCs/>
                <w:sz w:val="18"/>
                <w:szCs w:val="18"/>
              </w:rPr>
              <w:t>Report 2017</w:t>
            </w:r>
          </w:p>
          <w:p w14:paraId="1D1F0855" w14:textId="493350FD" w:rsidR="00FA55EC" w:rsidRPr="0043094B" w:rsidRDefault="003846BD" w:rsidP="00EF745C">
            <w:pPr>
              <w:spacing w:after="0"/>
              <w:contextualSpacing/>
              <w:rPr>
                <w:rFonts w:cstheme="minorHAnsi"/>
                <w:bCs/>
                <w:sz w:val="18"/>
                <w:szCs w:val="18"/>
              </w:rPr>
            </w:pPr>
            <w:r w:rsidRPr="0043094B">
              <w:rPr>
                <w:rFonts w:cstheme="minorHAnsi"/>
                <w:bCs/>
                <w:sz w:val="18"/>
                <w:szCs w:val="18"/>
              </w:rPr>
              <w:t>Annex 6.  National Core SDG Indicators</w:t>
            </w:r>
          </w:p>
          <w:p w14:paraId="468996A8" w14:textId="58FE487A" w:rsidR="00FA55EC" w:rsidRPr="0043094B" w:rsidRDefault="00203720" w:rsidP="00FA55EC">
            <w:pPr>
              <w:pStyle w:val="ListParagraph"/>
              <w:numPr>
                <w:ilvl w:val="0"/>
                <w:numId w:val="8"/>
              </w:numPr>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Conference:  </w:t>
            </w:r>
            <w:r w:rsidR="00FA55EC" w:rsidRPr="0043094B">
              <w:rPr>
                <w:rFonts w:asciiTheme="minorHAnsi" w:hAnsiTheme="minorHAnsi" w:cstheme="minorHAnsi"/>
                <w:bCs/>
                <w:sz w:val="18"/>
                <w:szCs w:val="18"/>
              </w:rPr>
              <w:t>1</w:t>
            </w:r>
            <w:r w:rsidR="00FA55EC" w:rsidRPr="0043094B">
              <w:rPr>
                <w:rFonts w:asciiTheme="minorHAnsi" w:hAnsiTheme="minorHAnsi" w:cstheme="minorHAnsi"/>
                <w:bCs/>
                <w:sz w:val="18"/>
                <w:szCs w:val="18"/>
                <w:vertAlign w:val="superscript"/>
              </w:rPr>
              <w:t>st</w:t>
            </w:r>
            <w:r w:rsidR="00FA55EC" w:rsidRPr="0043094B">
              <w:rPr>
                <w:rFonts w:asciiTheme="minorHAnsi" w:hAnsiTheme="minorHAnsi" w:cstheme="minorHAnsi"/>
                <w:bCs/>
                <w:sz w:val="18"/>
                <w:szCs w:val="18"/>
              </w:rPr>
              <w:t xml:space="preserve"> National Environment Symposium </w:t>
            </w:r>
          </w:p>
          <w:p w14:paraId="15BECDD7" w14:textId="77777777" w:rsidR="00FA55EC" w:rsidRPr="0043094B" w:rsidRDefault="00FA55EC" w:rsidP="00FA55EC">
            <w:pPr>
              <w:contextualSpacing/>
              <w:rPr>
                <w:rFonts w:cstheme="minorHAnsi"/>
                <w:bCs/>
                <w:sz w:val="18"/>
                <w:szCs w:val="18"/>
              </w:rPr>
            </w:pPr>
          </w:p>
          <w:p w14:paraId="29F59716" w14:textId="0B12A2FD" w:rsidR="00B91D28" w:rsidRPr="0043094B" w:rsidRDefault="00B91D28" w:rsidP="00FA55EC">
            <w:pPr>
              <w:contextualSpacing/>
              <w:rPr>
                <w:rFonts w:cstheme="minorHAnsi"/>
                <w:bCs/>
                <w:sz w:val="18"/>
                <w:szCs w:val="18"/>
              </w:rPr>
            </w:pPr>
            <w:r w:rsidRPr="0043094B">
              <w:rPr>
                <w:rFonts w:cstheme="minorHAnsi"/>
                <w:bCs/>
                <w:sz w:val="18"/>
                <w:szCs w:val="18"/>
              </w:rPr>
              <w:t>T</w:t>
            </w:r>
            <w:r w:rsidR="00F9699E" w:rsidRPr="0043094B">
              <w:rPr>
                <w:rFonts w:cstheme="minorHAnsi"/>
                <w:bCs/>
                <w:sz w:val="18"/>
                <w:szCs w:val="18"/>
              </w:rPr>
              <w:t>his project has provided several systematic platforms for key environmental players – mostly from national government, and some active CBOs and NGOs to interact and work together</w:t>
            </w:r>
            <w:r w:rsidRPr="0043094B">
              <w:rPr>
                <w:rFonts w:cstheme="minorHAnsi"/>
                <w:bCs/>
                <w:sz w:val="18"/>
                <w:szCs w:val="18"/>
              </w:rPr>
              <w:t xml:space="preserve"> (e.g., preparation of the above reports, along with planning and hosting the 1</w:t>
            </w:r>
            <w:r w:rsidRPr="0043094B">
              <w:rPr>
                <w:rFonts w:cstheme="minorHAnsi"/>
                <w:bCs/>
                <w:sz w:val="18"/>
                <w:szCs w:val="18"/>
                <w:vertAlign w:val="superscript"/>
              </w:rPr>
              <w:t>st</w:t>
            </w:r>
            <w:r w:rsidRPr="0043094B">
              <w:rPr>
                <w:rFonts w:cstheme="minorHAnsi"/>
                <w:bCs/>
                <w:sz w:val="18"/>
                <w:szCs w:val="18"/>
              </w:rPr>
              <w:t xml:space="preserve"> National Environment Symposium, which will become a regular event).</w:t>
            </w:r>
          </w:p>
          <w:p w14:paraId="3D95228E" w14:textId="77777777" w:rsidR="00B91D28" w:rsidRPr="0043094B" w:rsidRDefault="00B91D28" w:rsidP="00FA55EC">
            <w:pPr>
              <w:contextualSpacing/>
              <w:rPr>
                <w:rFonts w:cstheme="minorHAnsi"/>
                <w:bCs/>
                <w:sz w:val="18"/>
                <w:szCs w:val="18"/>
              </w:rPr>
            </w:pPr>
          </w:p>
          <w:p w14:paraId="7900625C" w14:textId="77777777" w:rsidR="00F9699E" w:rsidRPr="0043094B" w:rsidRDefault="00F9699E" w:rsidP="00FA55EC">
            <w:pPr>
              <w:contextualSpacing/>
              <w:rPr>
                <w:rFonts w:cstheme="minorHAnsi"/>
                <w:bCs/>
                <w:sz w:val="18"/>
                <w:szCs w:val="18"/>
              </w:rPr>
            </w:pPr>
            <w:r w:rsidRPr="0043094B">
              <w:rPr>
                <w:rFonts w:cstheme="minorHAnsi"/>
                <w:bCs/>
                <w:sz w:val="18"/>
                <w:szCs w:val="18"/>
              </w:rPr>
              <w:t>Today we now know who are the current ‘go-to’ players for which environmental sector; a better understanding of the varying capacity needs for each key institution, and newly established platforms (reports and events) on which we have agreed to continue to collectively work together to disseminate and share ongoing environmental issues and priorities.</w:t>
            </w:r>
          </w:p>
          <w:p w14:paraId="4E6C48AD" w14:textId="16946201" w:rsidR="00001C63" w:rsidRPr="0043094B" w:rsidRDefault="00001C63" w:rsidP="00C62A85">
            <w:pPr>
              <w:pStyle w:val="ListParagraph"/>
              <w:contextualSpacing/>
              <w:rPr>
                <w:rFonts w:asciiTheme="minorHAnsi" w:hAnsiTheme="minorHAnsi" w:cstheme="minorHAnsi"/>
                <w:bCs/>
                <w:sz w:val="18"/>
                <w:szCs w:val="18"/>
              </w:rPr>
            </w:pPr>
          </w:p>
        </w:tc>
      </w:tr>
      <w:tr w:rsidR="00C62A85" w:rsidRPr="00891152" w14:paraId="0A992289" w14:textId="77777777" w:rsidTr="00445A63">
        <w:tc>
          <w:tcPr>
            <w:tcW w:w="1075" w:type="dxa"/>
            <w:vMerge/>
            <w:shd w:val="clear" w:color="auto" w:fill="auto"/>
          </w:tcPr>
          <w:p w14:paraId="4FD090E4" w14:textId="77777777" w:rsidR="00C62A85" w:rsidRPr="0043094B" w:rsidRDefault="00C62A85" w:rsidP="00095CFB">
            <w:pPr>
              <w:pStyle w:val="para"/>
              <w:tabs>
                <w:tab w:val="clear" w:pos="720"/>
                <w:tab w:val="left" w:pos="167"/>
              </w:tabs>
              <w:spacing w:after="0"/>
              <w:ind w:right="-74"/>
              <w:jc w:val="left"/>
              <w:rPr>
                <w:rFonts w:asciiTheme="minorHAnsi" w:hAnsiTheme="minorHAnsi" w:cstheme="minorHAnsi"/>
                <w:b/>
                <w:sz w:val="18"/>
                <w:szCs w:val="18"/>
              </w:rPr>
            </w:pPr>
          </w:p>
        </w:tc>
        <w:tc>
          <w:tcPr>
            <w:tcW w:w="11677" w:type="dxa"/>
            <w:gridSpan w:val="4"/>
          </w:tcPr>
          <w:p w14:paraId="56A093A4" w14:textId="77777777" w:rsidR="00C62A85" w:rsidRPr="0043094B" w:rsidRDefault="00C62A85" w:rsidP="00C62A85">
            <w:pPr>
              <w:contextualSpacing/>
              <w:jc w:val="center"/>
              <w:rPr>
                <w:rFonts w:cstheme="minorHAnsi"/>
                <w:b/>
                <w:bCs/>
                <w:sz w:val="18"/>
                <w:szCs w:val="18"/>
              </w:rPr>
            </w:pPr>
            <w:r w:rsidRPr="0043094B">
              <w:rPr>
                <w:rFonts w:cstheme="minorHAnsi"/>
                <w:b/>
                <w:bCs/>
                <w:sz w:val="18"/>
                <w:szCs w:val="18"/>
              </w:rPr>
              <w:t>2018 Progress</w:t>
            </w:r>
          </w:p>
          <w:p w14:paraId="694CEAE5" w14:textId="77777777" w:rsidR="00C62A85" w:rsidRPr="0043094B" w:rsidRDefault="00C62A85" w:rsidP="00C62A85">
            <w:pPr>
              <w:contextualSpacing/>
              <w:rPr>
                <w:rFonts w:cstheme="minorHAnsi"/>
                <w:b/>
                <w:bCs/>
                <w:sz w:val="18"/>
                <w:szCs w:val="18"/>
              </w:rPr>
            </w:pPr>
            <w:r w:rsidRPr="0043094B">
              <w:rPr>
                <w:rFonts w:cstheme="minorHAnsi"/>
                <w:bCs/>
                <w:sz w:val="18"/>
                <w:szCs w:val="18"/>
              </w:rPr>
              <w:t>The list below summarizes how we are improving environmental data and information management in three general categories:</w:t>
            </w:r>
          </w:p>
          <w:p w14:paraId="46DC37BF" w14:textId="77777777" w:rsidR="00C62A85" w:rsidRPr="0043094B" w:rsidRDefault="00C62A85" w:rsidP="00C62A85">
            <w:pPr>
              <w:pStyle w:val="ListParagraph"/>
              <w:numPr>
                <w:ilvl w:val="0"/>
                <w:numId w:val="23"/>
              </w:numPr>
              <w:contextualSpacing/>
              <w:rPr>
                <w:rFonts w:asciiTheme="minorHAnsi" w:hAnsiTheme="minorHAnsi" w:cstheme="minorHAnsi"/>
                <w:bCs/>
                <w:sz w:val="18"/>
                <w:szCs w:val="18"/>
              </w:rPr>
            </w:pPr>
            <w:r w:rsidRPr="0043094B">
              <w:rPr>
                <w:rFonts w:asciiTheme="minorHAnsi" w:hAnsiTheme="minorHAnsi" w:cstheme="minorHAnsi"/>
                <w:bCs/>
                <w:sz w:val="18"/>
                <w:szCs w:val="18"/>
              </w:rPr>
              <w:t>Tools – Central Database, SOE Report content, National Environment Symposium presentations (i.e., issues, interventions, findings and recommendations)</w:t>
            </w:r>
          </w:p>
          <w:p w14:paraId="09536B17" w14:textId="2F960FD0" w:rsidR="00C62A85" w:rsidRDefault="00C62A85" w:rsidP="00C62A85">
            <w:pPr>
              <w:pStyle w:val="ListParagraph"/>
              <w:numPr>
                <w:ilvl w:val="0"/>
                <w:numId w:val="24"/>
              </w:numPr>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Central Database will no longer be designed by CB2 project – we will instead utilize a recently completed online-based database by Inform Project.  Therefore, needed capacity building will revolve around this database.</w:t>
            </w:r>
            <w:r w:rsidR="00F96702">
              <w:rPr>
                <w:rFonts w:asciiTheme="minorHAnsi" w:hAnsiTheme="minorHAnsi" w:cstheme="minorHAnsi"/>
                <w:bCs/>
                <w:sz w:val="18"/>
                <w:szCs w:val="18"/>
              </w:rPr>
              <w:t xml:space="preserve"> </w:t>
            </w:r>
            <w:r w:rsidRPr="0043094B">
              <w:rPr>
                <w:rFonts w:asciiTheme="minorHAnsi" w:hAnsiTheme="minorHAnsi" w:cstheme="minorHAnsi"/>
                <w:bCs/>
                <w:sz w:val="18"/>
                <w:szCs w:val="18"/>
              </w:rPr>
              <w:t>Initially, PMU staff (Charlene and Amanda), along with selected PALARIS technical personnel will be trained on this database by SPREP and by the Ministry of Natural Resource</w:t>
            </w:r>
            <w:r w:rsidR="005C257B">
              <w:rPr>
                <w:rFonts w:asciiTheme="minorHAnsi" w:hAnsiTheme="minorHAnsi" w:cstheme="minorHAnsi"/>
                <w:bCs/>
                <w:sz w:val="18"/>
                <w:szCs w:val="18"/>
              </w:rPr>
              <w:t>s</w:t>
            </w:r>
            <w:r w:rsidRPr="0043094B">
              <w:rPr>
                <w:rFonts w:asciiTheme="minorHAnsi" w:hAnsiTheme="minorHAnsi" w:cstheme="minorHAnsi"/>
                <w:bCs/>
                <w:sz w:val="18"/>
                <w:szCs w:val="18"/>
              </w:rPr>
              <w:t>, Environment and Tourism personnel who are executing Inform Project.  After our initial training, we will then train other stakeholders so they can populate it for the 2</w:t>
            </w:r>
            <w:r w:rsidRPr="0043094B">
              <w:rPr>
                <w:rFonts w:asciiTheme="minorHAnsi" w:hAnsiTheme="minorHAnsi" w:cstheme="minorHAnsi"/>
                <w:bCs/>
                <w:sz w:val="18"/>
                <w:szCs w:val="18"/>
                <w:vertAlign w:val="superscript"/>
              </w:rPr>
              <w:t>nd</w:t>
            </w:r>
            <w:r w:rsidRPr="0043094B">
              <w:rPr>
                <w:rFonts w:asciiTheme="minorHAnsi" w:hAnsiTheme="minorHAnsi" w:cstheme="minorHAnsi"/>
                <w:bCs/>
                <w:sz w:val="18"/>
                <w:szCs w:val="18"/>
              </w:rPr>
              <w:t xml:space="preserve"> SOE Report.</w:t>
            </w:r>
            <w:r w:rsidR="008D18BC">
              <w:rPr>
                <w:rFonts w:asciiTheme="minorHAnsi" w:hAnsiTheme="minorHAnsi" w:cstheme="minorHAnsi"/>
                <w:bCs/>
                <w:sz w:val="18"/>
                <w:szCs w:val="18"/>
              </w:rPr>
              <w:t xml:space="preserve"> At the moment the staff is using the database to populate 2</w:t>
            </w:r>
            <w:r w:rsidR="008D18BC" w:rsidRPr="008D18BC">
              <w:rPr>
                <w:rFonts w:asciiTheme="minorHAnsi" w:hAnsiTheme="minorHAnsi" w:cstheme="minorHAnsi"/>
                <w:bCs/>
                <w:sz w:val="18"/>
                <w:szCs w:val="18"/>
                <w:vertAlign w:val="superscript"/>
              </w:rPr>
              <w:t>nd</w:t>
            </w:r>
            <w:r w:rsidR="008D18BC">
              <w:rPr>
                <w:rFonts w:asciiTheme="minorHAnsi" w:hAnsiTheme="minorHAnsi" w:cstheme="minorHAnsi"/>
                <w:bCs/>
                <w:sz w:val="18"/>
                <w:szCs w:val="18"/>
              </w:rPr>
              <w:t xml:space="preserve"> SOE report without the training, as the timing for training by MNRET is yet to be determined. The SPREP staff is providing guidance if needed.  </w:t>
            </w:r>
          </w:p>
          <w:p w14:paraId="47E843DA" w14:textId="30AE31D2" w:rsidR="000C76E7" w:rsidRDefault="000C76E7" w:rsidP="000C76E7">
            <w:pPr>
              <w:pStyle w:val="ListParagraph"/>
              <w:contextualSpacing/>
              <w:rPr>
                <w:rFonts w:asciiTheme="minorHAnsi" w:hAnsiTheme="minorHAnsi" w:cstheme="minorHAnsi"/>
                <w:bCs/>
                <w:sz w:val="18"/>
                <w:szCs w:val="18"/>
              </w:rPr>
            </w:pPr>
            <w:r w:rsidRPr="005D275C">
              <w:rPr>
                <w:rFonts w:asciiTheme="minorHAnsi" w:hAnsiTheme="minorHAnsi" w:cstheme="minorHAnsi"/>
                <w:bCs/>
                <w:sz w:val="18"/>
                <w:szCs w:val="18"/>
              </w:rPr>
              <w:t>Update Dec 5:  The SPREP Team did hold a training in Palau.  However, since PALARIS was not going to be the local manager of the database but a different agency (Ministry of Natural Resources, Environment and Tourism), because they wanted to use it to focus on biodiversity, we did not prioritize the training, but let them take the lead and then train us.  The CB2 PMU (Charlene and Amanda) did not attend the training, but PALARIS sent a representative to this training in Palau, as well as to another training in Samoa the following month.  For the purposes of us using the Inform online platform, our consultant, Ms. Anu Gupta who will be helping us with the 2</w:t>
            </w:r>
            <w:r w:rsidRPr="005D275C">
              <w:rPr>
                <w:rFonts w:asciiTheme="minorHAnsi" w:hAnsiTheme="minorHAnsi" w:cstheme="minorHAnsi"/>
                <w:bCs/>
                <w:sz w:val="18"/>
                <w:szCs w:val="18"/>
                <w:vertAlign w:val="superscript"/>
              </w:rPr>
              <w:t>nd</w:t>
            </w:r>
            <w:r w:rsidRPr="005D275C">
              <w:rPr>
                <w:rFonts w:asciiTheme="minorHAnsi" w:hAnsiTheme="minorHAnsi" w:cstheme="minorHAnsi"/>
                <w:bCs/>
                <w:sz w:val="18"/>
                <w:szCs w:val="18"/>
              </w:rPr>
              <w:t xml:space="preserve"> SOE is the one who will be populating the online platform.  In short, we are still moving forward with the Inform platform as the starting point for our environmental database and then expanding it to add climate change and SDG components into it post-CB2.</w:t>
            </w:r>
          </w:p>
          <w:p w14:paraId="6DBD1217" w14:textId="77777777" w:rsidR="000C76E7" w:rsidRPr="0043094B" w:rsidRDefault="000C76E7" w:rsidP="000C76E7">
            <w:pPr>
              <w:pStyle w:val="ListParagraph"/>
              <w:contextualSpacing/>
              <w:rPr>
                <w:rFonts w:asciiTheme="minorHAnsi" w:hAnsiTheme="minorHAnsi" w:cstheme="minorHAnsi"/>
                <w:bCs/>
                <w:sz w:val="18"/>
                <w:szCs w:val="18"/>
              </w:rPr>
            </w:pPr>
          </w:p>
          <w:p w14:paraId="603FF685" w14:textId="77777777" w:rsidR="00C62A85" w:rsidRPr="0043094B" w:rsidRDefault="00C62A85" w:rsidP="00C62A85">
            <w:pPr>
              <w:pStyle w:val="ListParagraph"/>
              <w:numPr>
                <w:ilvl w:val="0"/>
                <w:numId w:val="24"/>
              </w:numPr>
              <w:contextualSpacing/>
              <w:rPr>
                <w:rFonts w:asciiTheme="minorHAnsi" w:hAnsiTheme="minorHAnsi" w:cstheme="minorHAnsi"/>
                <w:bCs/>
                <w:sz w:val="18"/>
                <w:szCs w:val="18"/>
              </w:rPr>
            </w:pPr>
            <w:r w:rsidRPr="0043094B">
              <w:rPr>
                <w:rFonts w:asciiTheme="minorHAnsi" w:hAnsiTheme="minorHAnsi" w:cstheme="minorHAnsi"/>
                <w:bCs/>
                <w:sz w:val="18"/>
                <w:szCs w:val="18"/>
              </w:rPr>
              <w:t>State of the Environment (SOE) Report –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SOE Report was disseminated last April; next report is due in April 2019.  We have not yet invested much time on this yet, due to other priority activities but will now focus on it, starting with familiarizing ourselves with the Inform Project database.</w:t>
            </w:r>
          </w:p>
          <w:p w14:paraId="10E129C1" w14:textId="77777777" w:rsidR="00C62A85" w:rsidRPr="0043094B" w:rsidRDefault="00C62A85" w:rsidP="00C62A85">
            <w:pPr>
              <w:pStyle w:val="ListParagraph"/>
              <w:numPr>
                <w:ilvl w:val="0"/>
                <w:numId w:val="24"/>
              </w:numPr>
              <w:contextualSpacing/>
              <w:rPr>
                <w:rFonts w:asciiTheme="minorHAnsi" w:hAnsiTheme="minorHAnsi" w:cstheme="minorHAnsi"/>
                <w:bCs/>
                <w:sz w:val="18"/>
                <w:szCs w:val="18"/>
              </w:rPr>
            </w:pPr>
            <w:r w:rsidRPr="0043094B">
              <w:rPr>
                <w:rFonts w:asciiTheme="minorHAnsi" w:hAnsiTheme="minorHAnsi" w:cstheme="minorHAnsi"/>
                <w:bCs/>
                <w:sz w:val="18"/>
                <w:szCs w:val="18"/>
              </w:rPr>
              <w:t>Both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and 2</w:t>
            </w:r>
            <w:r w:rsidRPr="0043094B">
              <w:rPr>
                <w:rFonts w:asciiTheme="minorHAnsi" w:hAnsiTheme="minorHAnsi" w:cstheme="minorHAnsi"/>
                <w:bCs/>
                <w:sz w:val="18"/>
                <w:szCs w:val="18"/>
                <w:vertAlign w:val="superscript"/>
              </w:rPr>
              <w:t>nd</w:t>
            </w:r>
            <w:r w:rsidRPr="0043094B">
              <w:rPr>
                <w:rFonts w:asciiTheme="minorHAnsi" w:hAnsiTheme="minorHAnsi" w:cstheme="minorHAnsi"/>
                <w:bCs/>
                <w:sz w:val="18"/>
                <w:szCs w:val="18"/>
              </w:rPr>
              <w:t xml:space="preserve"> National Symposium (NES) Reports will be used to guide our priority interventions at the local level.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NES’ report has been completed and has been disseminated (both electronic and hard copy).  Recommendations made from the 2</w:t>
            </w:r>
            <w:r w:rsidRPr="0043094B">
              <w:rPr>
                <w:rFonts w:asciiTheme="minorHAnsi" w:hAnsiTheme="minorHAnsi" w:cstheme="minorHAnsi"/>
                <w:bCs/>
                <w:sz w:val="18"/>
                <w:szCs w:val="18"/>
                <w:vertAlign w:val="superscript"/>
              </w:rPr>
              <w:t>nd</w:t>
            </w:r>
            <w:r w:rsidRPr="0043094B">
              <w:rPr>
                <w:rFonts w:asciiTheme="minorHAnsi" w:hAnsiTheme="minorHAnsi" w:cstheme="minorHAnsi"/>
                <w:bCs/>
                <w:sz w:val="18"/>
                <w:szCs w:val="18"/>
              </w:rPr>
              <w:t xml:space="preserve"> NES were presented to the President, his cabinet and members of our National and State Government Congress, as well as traditional leaders two days after the symposium event.  We continued working with some of these leaders (e.g., Minister of Natural Resources, Env. And Tourism; President’s lawyer and the women’s group) to pass a bill to reduce the use of single-use plastics; provide more support to developing small home gardens and increase funds to improve water quality to homes in rural areas).</w:t>
            </w:r>
          </w:p>
          <w:p w14:paraId="290B97FF" w14:textId="77777777" w:rsidR="00C62A85" w:rsidRPr="0043094B" w:rsidRDefault="00C62A85" w:rsidP="00C62A85">
            <w:pPr>
              <w:pStyle w:val="ListParagraph"/>
              <w:contextualSpacing/>
              <w:rPr>
                <w:rFonts w:asciiTheme="minorHAnsi" w:hAnsiTheme="minorHAnsi" w:cstheme="minorHAnsi"/>
                <w:bCs/>
                <w:sz w:val="18"/>
                <w:szCs w:val="18"/>
              </w:rPr>
            </w:pPr>
          </w:p>
          <w:p w14:paraId="3CD2E508" w14:textId="77777777" w:rsidR="00C62A85" w:rsidRPr="0043094B" w:rsidRDefault="00C62A85" w:rsidP="00C62A85">
            <w:pPr>
              <w:pStyle w:val="ListParagraph"/>
              <w:numPr>
                <w:ilvl w:val="0"/>
                <w:numId w:val="23"/>
              </w:numPr>
              <w:contextualSpacing/>
              <w:rPr>
                <w:rFonts w:asciiTheme="minorHAnsi" w:hAnsiTheme="minorHAnsi" w:cstheme="minorHAnsi"/>
                <w:bCs/>
                <w:sz w:val="18"/>
                <w:szCs w:val="18"/>
              </w:rPr>
            </w:pPr>
            <w:r w:rsidRPr="0043094B">
              <w:rPr>
                <w:rFonts w:asciiTheme="minorHAnsi" w:hAnsiTheme="minorHAnsi" w:cstheme="minorHAnsi"/>
                <w:bCs/>
                <w:sz w:val="18"/>
                <w:szCs w:val="18"/>
              </w:rPr>
              <w:t>Coordination Mechanism - NEPC body &amp; its recently established Working Groups; Palau Conservation Consortium; SDG government and non-government stakeholders</w:t>
            </w:r>
          </w:p>
          <w:p w14:paraId="01A9441E" w14:textId="77777777" w:rsidR="00C62A85" w:rsidRPr="0043094B" w:rsidRDefault="00C62A85" w:rsidP="00C62A85">
            <w:pPr>
              <w:pStyle w:val="ListParagraph"/>
              <w:numPr>
                <w:ilvl w:val="0"/>
                <w:numId w:val="25"/>
              </w:numPr>
              <w:contextualSpacing/>
              <w:rPr>
                <w:rFonts w:asciiTheme="minorHAnsi" w:hAnsiTheme="minorHAnsi" w:cstheme="minorHAnsi"/>
                <w:bCs/>
                <w:sz w:val="18"/>
                <w:szCs w:val="18"/>
              </w:rPr>
            </w:pPr>
            <w:r w:rsidRPr="0043094B">
              <w:rPr>
                <w:rFonts w:asciiTheme="minorHAnsi" w:hAnsiTheme="minorHAnsi" w:cstheme="minorHAnsi"/>
                <w:bCs/>
                <w:sz w:val="18"/>
                <w:szCs w:val="18"/>
              </w:rPr>
              <w:t>The NEPC has been more effective in advancing legislations and in networking since we passed our bylaws and SOP last April.</w:t>
            </w:r>
          </w:p>
          <w:p w14:paraId="55A6EF11" w14:textId="77777777" w:rsidR="00C62A85" w:rsidRPr="0043094B" w:rsidRDefault="00C62A85" w:rsidP="00C62A85">
            <w:pPr>
              <w:pStyle w:val="ListParagraph"/>
              <w:numPr>
                <w:ilvl w:val="0"/>
                <w:numId w:val="25"/>
              </w:numPr>
              <w:contextualSpacing/>
              <w:rPr>
                <w:rFonts w:asciiTheme="minorHAnsi" w:hAnsiTheme="minorHAnsi" w:cstheme="minorHAnsi"/>
                <w:bCs/>
                <w:sz w:val="18"/>
                <w:szCs w:val="18"/>
              </w:rPr>
            </w:pPr>
            <w:r w:rsidRPr="0043094B">
              <w:rPr>
                <w:rFonts w:asciiTheme="minorHAnsi" w:hAnsiTheme="minorHAnsi" w:cstheme="minorHAnsi"/>
                <w:bCs/>
                <w:sz w:val="18"/>
                <w:szCs w:val="18"/>
              </w:rPr>
              <w:t>Working with an informal national body consisting of conservation practitioners, the Palau Conservation Consortium, both national bodies have successfully organized and hosted the 2 national environment symposiums.  With the CB2 PMU’s increasing role in coordinating SDG localization efforts, we are now adding another layer of stakeholders to these national bodies via the SDGs.</w:t>
            </w:r>
          </w:p>
          <w:p w14:paraId="002E338D" w14:textId="77777777" w:rsidR="00C62A85" w:rsidRPr="0043094B" w:rsidRDefault="00C62A85" w:rsidP="00C62A85">
            <w:pPr>
              <w:contextualSpacing/>
              <w:rPr>
                <w:rFonts w:cstheme="minorHAnsi"/>
                <w:bCs/>
                <w:sz w:val="18"/>
                <w:szCs w:val="18"/>
              </w:rPr>
            </w:pPr>
          </w:p>
          <w:p w14:paraId="077C5509" w14:textId="77777777" w:rsidR="00C62A85" w:rsidRPr="0043094B" w:rsidRDefault="00C62A85" w:rsidP="00C62A85">
            <w:pPr>
              <w:pStyle w:val="ListParagraph"/>
              <w:numPr>
                <w:ilvl w:val="0"/>
                <w:numId w:val="23"/>
              </w:numPr>
              <w:contextualSpacing/>
              <w:rPr>
                <w:rFonts w:asciiTheme="minorHAnsi" w:hAnsiTheme="minorHAnsi" w:cstheme="minorHAnsi"/>
                <w:bCs/>
                <w:sz w:val="18"/>
                <w:szCs w:val="18"/>
              </w:rPr>
            </w:pPr>
            <w:r w:rsidRPr="0043094B">
              <w:rPr>
                <w:rFonts w:asciiTheme="minorHAnsi" w:hAnsiTheme="minorHAnsi" w:cstheme="minorHAnsi"/>
                <w:bCs/>
                <w:sz w:val="18"/>
                <w:szCs w:val="18"/>
              </w:rPr>
              <w:t>Outputs – SOE and National Environment Symposium Reports, national legislations (e.g., Access and Benefit Sharing law, Sustainable Tourism bill and SDG M &amp; E Executive Order)</w:t>
            </w:r>
          </w:p>
          <w:p w14:paraId="47D6DF36" w14:textId="77777777" w:rsidR="00C62A85" w:rsidRPr="0043094B" w:rsidRDefault="00C62A85" w:rsidP="00C62A85">
            <w:pPr>
              <w:pStyle w:val="ListParagraph"/>
              <w:numPr>
                <w:ilvl w:val="0"/>
                <w:numId w:val="26"/>
              </w:numPr>
              <w:contextualSpacing/>
              <w:rPr>
                <w:rFonts w:asciiTheme="minorHAnsi" w:hAnsiTheme="minorHAnsi" w:cstheme="minorHAnsi"/>
                <w:bCs/>
                <w:sz w:val="18"/>
                <w:szCs w:val="18"/>
              </w:rPr>
            </w:pPr>
            <w:r w:rsidRPr="0043094B">
              <w:rPr>
                <w:rFonts w:asciiTheme="minorHAnsi" w:hAnsiTheme="minorHAnsi" w:cstheme="minorHAnsi"/>
                <w:bCs/>
                <w:sz w:val="18"/>
                <w:szCs w:val="18"/>
              </w:rPr>
              <w:t>Above are examples of delivered (or in the pipeline) outputs.  See attached copy of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SOE and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NES Reports.</w:t>
            </w:r>
          </w:p>
          <w:p w14:paraId="78678734" w14:textId="52165E44" w:rsidR="00C62A85" w:rsidRPr="005D275C" w:rsidRDefault="00C62A85" w:rsidP="005D275C">
            <w:pPr>
              <w:pStyle w:val="ListParagraph"/>
              <w:numPr>
                <w:ilvl w:val="0"/>
                <w:numId w:val="26"/>
              </w:numPr>
              <w:contextualSpacing/>
              <w:rPr>
                <w:rFonts w:asciiTheme="minorHAnsi" w:hAnsiTheme="minorHAnsi" w:cstheme="minorHAnsi"/>
                <w:bCs/>
                <w:sz w:val="18"/>
                <w:szCs w:val="18"/>
              </w:rPr>
            </w:pPr>
            <w:r w:rsidRPr="005D275C">
              <w:rPr>
                <w:rFonts w:asciiTheme="minorHAnsi" w:hAnsiTheme="minorHAnsi" w:cstheme="minorHAnsi"/>
                <w:bCs/>
                <w:sz w:val="18"/>
                <w:szCs w:val="18"/>
              </w:rPr>
              <w:t>We are adding a new output item – media.  In the past, we have not utilized the media as much, and realized this gap during the May 2018 RSD Coordinators’ meeting.  Thus, with the 2</w:t>
            </w:r>
            <w:r w:rsidRPr="005D275C">
              <w:rPr>
                <w:rFonts w:asciiTheme="minorHAnsi" w:hAnsiTheme="minorHAnsi" w:cstheme="minorHAnsi"/>
                <w:bCs/>
                <w:sz w:val="18"/>
                <w:szCs w:val="18"/>
                <w:vertAlign w:val="superscript"/>
              </w:rPr>
              <w:t>nd</w:t>
            </w:r>
            <w:r w:rsidRPr="005D275C">
              <w:rPr>
                <w:rFonts w:asciiTheme="minorHAnsi" w:hAnsiTheme="minorHAnsi" w:cstheme="minorHAnsi"/>
                <w:bCs/>
                <w:sz w:val="18"/>
                <w:szCs w:val="18"/>
              </w:rPr>
              <w:t xml:space="preserve"> NES, videos were taken of all the </w:t>
            </w:r>
            <w:r w:rsidR="005D275C" w:rsidRPr="005D275C">
              <w:rPr>
                <w:rFonts w:asciiTheme="minorHAnsi" w:hAnsiTheme="minorHAnsi" w:cstheme="minorHAnsi"/>
                <w:bCs/>
                <w:sz w:val="18"/>
                <w:szCs w:val="18"/>
              </w:rPr>
              <w:t>presentations,</w:t>
            </w:r>
            <w:r w:rsidRPr="005D275C">
              <w:rPr>
                <w:rFonts w:asciiTheme="minorHAnsi" w:hAnsiTheme="minorHAnsi" w:cstheme="minorHAnsi"/>
                <w:bCs/>
                <w:sz w:val="18"/>
                <w:szCs w:val="18"/>
              </w:rPr>
              <w:t xml:space="preserve"> so we can show them on national TV and also use them as materials for ongoing awareness and advocacy efforts. Note:  The FB activities were led by summer interns who are Palauan college students who were home for the summer doing internships via various programs funded by the Palau National Scholarship Board, India Grant and the private sector.  After their departure, Amanda is expected to pick up on this effort.</w:t>
            </w:r>
          </w:p>
          <w:p w14:paraId="42C13EF5" w14:textId="77777777" w:rsidR="00C62A85" w:rsidRPr="0043094B" w:rsidRDefault="00C62A85" w:rsidP="00C62A85">
            <w:pPr>
              <w:pStyle w:val="ListParagraph"/>
              <w:ind w:left="77"/>
              <w:contextualSpacing/>
              <w:rPr>
                <w:rFonts w:asciiTheme="minorHAnsi" w:hAnsiTheme="minorHAnsi" w:cstheme="minorHAnsi"/>
                <w:bCs/>
                <w:sz w:val="18"/>
                <w:szCs w:val="18"/>
              </w:rPr>
            </w:pPr>
          </w:p>
        </w:tc>
      </w:tr>
      <w:tr w:rsidR="00AA6728" w:rsidRPr="00891152" w14:paraId="467097AE" w14:textId="77777777" w:rsidTr="000551C4">
        <w:tc>
          <w:tcPr>
            <w:tcW w:w="1075" w:type="dxa"/>
            <w:vMerge/>
            <w:shd w:val="clear" w:color="auto" w:fill="auto"/>
          </w:tcPr>
          <w:p w14:paraId="0056BE96" w14:textId="096BF4D8" w:rsidR="00AA6728" w:rsidRPr="0043094B" w:rsidRDefault="00AA6728" w:rsidP="00095CFB">
            <w:pPr>
              <w:pStyle w:val="para"/>
              <w:tabs>
                <w:tab w:val="clear" w:pos="720"/>
                <w:tab w:val="left" w:pos="167"/>
              </w:tabs>
              <w:spacing w:after="0"/>
              <w:ind w:right="-74"/>
              <w:jc w:val="left"/>
              <w:rPr>
                <w:rFonts w:asciiTheme="minorHAnsi" w:hAnsiTheme="minorHAnsi" w:cstheme="minorHAnsi"/>
                <w:b/>
                <w:sz w:val="18"/>
                <w:szCs w:val="18"/>
              </w:rPr>
            </w:pPr>
          </w:p>
        </w:tc>
        <w:tc>
          <w:tcPr>
            <w:tcW w:w="1597" w:type="dxa"/>
          </w:tcPr>
          <w:p w14:paraId="1ADA2955"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Key environmental organizations stated as the primary sources for environmental information in Palau by a significant number of national, regional and international development partners</w:t>
            </w:r>
          </w:p>
        </w:tc>
        <w:tc>
          <w:tcPr>
            <w:tcW w:w="1440" w:type="dxa"/>
          </w:tcPr>
          <w:p w14:paraId="3E705522"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Capacity of key stakeholders for translating environmental data into information useful by decision-makers is low and dispersed over many organizations</w:t>
            </w:r>
          </w:p>
        </w:tc>
        <w:tc>
          <w:tcPr>
            <w:tcW w:w="1643" w:type="dxa"/>
          </w:tcPr>
          <w:p w14:paraId="767EC480"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50% of stakeholders have benefitted from capacity development activities for better use of this information in decision-making and policy-making</w:t>
            </w:r>
          </w:p>
        </w:tc>
        <w:tc>
          <w:tcPr>
            <w:tcW w:w="6997" w:type="dxa"/>
          </w:tcPr>
          <w:p w14:paraId="3D0440C7" w14:textId="5CDA65D6" w:rsidR="00943EBF" w:rsidRPr="0043094B" w:rsidRDefault="003E49E1" w:rsidP="00943EBF">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The </w:t>
            </w:r>
            <w:r w:rsidR="00C70A2B" w:rsidRPr="0043094B">
              <w:rPr>
                <w:rFonts w:asciiTheme="minorHAnsi" w:hAnsiTheme="minorHAnsi" w:cstheme="minorHAnsi"/>
                <w:bCs/>
                <w:sz w:val="18"/>
                <w:szCs w:val="18"/>
              </w:rPr>
              <w:t xml:space="preserve">16-member </w:t>
            </w:r>
            <w:r w:rsidRPr="0043094B">
              <w:rPr>
                <w:rFonts w:asciiTheme="minorHAnsi" w:hAnsiTheme="minorHAnsi" w:cstheme="minorHAnsi"/>
                <w:bCs/>
                <w:sz w:val="18"/>
                <w:szCs w:val="18"/>
              </w:rPr>
              <w:t>CB2 Ad Hoc Committee agreed in early 2016 that to get the most out of this project towards improving national environmental data and information management</w:t>
            </w:r>
            <w:r w:rsidR="00C70A2B" w:rsidRPr="0043094B">
              <w:rPr>
                <w:rFonts w:asciiTheme="minorHAnsi" w:hAnsiTheme="minorHAnsi" w:cstheme="minorHAnsi"/>
                <w:bCs/>
                <w:sz w:val="18"/>
                <w:szCs w:val="18"/>
              </w:rPr>
              <w:t>, it will focus on the “Top Tier”</w:t>
            </w:r>
            <w:r w:rsidR="00943EBF" w:rsidRPr="0043094B">
              <w:rPr>
                <w:rFonts w:asciiTheme="minorHAnsi" w:hAnsiTheme="minorHAnsi" w:cstheme="minorHAnsi"/>
                <w:bCs/>
                <w:sz w:val="18"/>
                <w:szCs w:val="18"/>
              </w:rPr>
              <w:t xml:space="preserve"> agencies, who together essentially manage about 80% of environmental information in Palau.  </w:t>
            </w:r>
            <w:r w:rsidR="00C70A2B" w:rsidRPr="0043094B">
              <w:rPr>
                <w:rFonts w:asciiTheme="minorHAnsi" w:hAnsiTheme="minorHAnsi" w:cstheme="minorHAnsi"/>
                <w:bCs/>
                <w:sz w:val="18"/>
                <w:szCs w:val="18"/>
              </w:rPr>
              <w:t>These were identified to be Bureau of Agriculture</w:t>
            </w:r>
            <w:r w:rsidR="00943EBF" w:rsidRPr="0043094B">
              <w:rPr>
                <w:rFonts w:asciiTheme="minorHAnsi" w:hAnsiTheme="minorHAnsi" w:cstheme="minorHAnsi"/>
                <w:bCs/>
                <w:sz w:val="18"/>
                <w:szCs w:val="18"/>
              </w:rPr>
              <w:t xml:space="preserve"> (BOA)</w:t>
            </w:r>
            <w:r w:rsidR="00C70A2B" w:rsidRPr="0043094B">
              <w:rPr>
                <w:rFonts w:asciiTheme="minorHAnsi" w:hAnsiTheme="minorHAnsi" w:cstheme="minorHAnsi"/>
                <w:bCs/>
                <w:sz w:val="18"/>
                <w:szCs w:val="18"/>
              </w:rPr>
              <w:t>, Bureau of Marine Resources</w:t>
            </w:r>
            <w:r w:rsidR="00943EBF" w:rsidRPr="0043094B">
              <w:rPr>
                <w:rFonts w:asciiTheme="minorHAnsi" w:hAnsiTheme="minorHAnsi" w:cstheme="minorHAnsi"/>
                <w:bCs/>
                <w:sz w:val="18"/>
                <w:szCs w:val="18"/>
              </w:rPr>
              <w:t xml:space="preserve"> (BMR)</w:t>
            </w:r>
            <w:r w:rsidR="00C70A2B" w:rsidRPr="0043094B">
              <w:rPr>
                <w:rFonts w:asciiTheme="minorHAnsi" w:hAnsiTheme="minorHAnsi" w:cstheme="minorHAnsi"/>
                <w:bCs/>
                <w:sz w:val="18"/>
                <w:szCs w:val="18"/>
              </w:rPr>
              <w:t xml:space="preserve"> and Environmental Quality Protection Council (EQPB)</w:t>
            </w:r>
            <w:r w:rsidR="00943EBF" w:rsidRPr="0043094B">
              <w:rPr>
                <w:rFonts w:asciiTheme="minorHAnsi" w:hAnsiTheme="minorHAnsi" w:cstheme="minorHAnsi"/>
                <w:bCs/>
                <w:sz w:val="18"/>
                <w:szCs w:val="18"/>
              </w:rPr>
              <w:t xml:space="preserve">.  </w:t>
            </w:r>
          </w:p>
          <w:p w14:paraId="725CB080" w14:textId="77777777" w:rsidR="00943EBF" w:rsidRPr="0043094B" w:rsidRDefault="00943EBF" w:rsidP="00943EBF">
            <w:pPr>
              <w:pStyle w:val="ListParagraph"/>
              <w:ind w:left="77"/>
              <w:contextualSpacing/>
              <w:rPr>
                <w:rFonts w:asciiTheme="minorHAnsi" w:hAnsiTheme="minorHAnsi" w:cstheme="minorHAnsi"/>
                <w:bCs/>
                <w:sz w:val="18"/>
                <w:szCs w:val="18"/>
              </w:rPr>
            </w:pPr>
          </w:p>
          <w:p w14:paraId="592A9EEA" w14:textId="77777777" w:rsidR="00FD0CE7" w:rsidRPr="0043094B" w:rsidRDefault="00943EBF" w:rsidP="00943EBF">
            <w:pPr>
              <w:pStyle w:val="ListParagraph"/>
              <w:ind w:left="77"/>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To this end, all three </w:t>
            </w:r>
            <w:r w:rsidR="00AD6256" w:rsidRPr="0043094B">
              <w:rPr>
                <w:rFonts w:asciiTheme="minorHAnsi" w:hAnsiTheme="minorHAnsi" w:cstheme="minorHAnsi"/>
                <w:bCs/>
                <w:sz w:val="18"/>
                <w:szCs w:val="18"/>
              </w:rPr>
              <w:t xml:space="preserve">(100%) </w:t>
            </w:r>
            <w:r w:rsidRPr="0043094B">
              <w:rPr>
                <w:rFonts w:asciiTheme="minorHAnsi" w:hAnsiTheme="minorHAnsi" w:cstheme="minorHAnsi"/>
                <w:bCs/>
                <w:sz w:val="18"/>
                <w:szCs w:val="18"/>
              </w:rPr>
              <w:t>Top Tier agencies have received training on Excel (i.e., BMR and BOA), while EQPB received technical support to update their central en</w:t>
            </w:r>
            <w:r w:rsidR="00AD6256" w:rsidRPr="0043094B">
              <w:rPr>
                <w:rFonts w:asciiTheme="minorHAnsi" w:hAnsiTheme="minorHAnsi" w:cstheme="minorHAnsi"/>
                <w:bCs/>
                <w:sz w:val="18"/>
                <w:szCs w:val="18"/>
              </w:rPr>
              <w:t xml:space="preserve">vironmental assessment database, which is used to </w:t>
            </w:r>
            <w:r w:rsidR="00FD0CE7" w:rsidRPr="0043094B">
              <w:rPr>
                <w:rFonts w:asciiTheme="minorHAnsi" w:hAnsiTheme="minorHAnsi" w:cstheme="minorHAnsi"/>
                <w:bCs/>
                <w:sz w:val="18"/>
                <w:szCs w:val="18"/>
              </w:rPr>
              <w:t xml:space="preserve">guide </w:t>
            </w:r>
            <w:r w:rsidR="00AD6256" w:rsidRPr="0043094B">
              <w:rPr>
                <w:rFonts w:asciiTheme="minorHAnsi" w:hAnsiTheme="minorHAnsi" w:cstheme="minorHAnsi"/>
                <w:bCs/>
                <w:sz w:val="18"/>
                <w:szCs w:val="18"/>
              </w:rPr>
              <w:t>approv</w:t>
            </w:r>
            <w:r w:rsidR="00FD0CE7" w:rsidRPr="0043094B">
              <w:rPr>
                <w:rFonts w:asciiTheme="minorHAnsi" w:hAnsiTheme="minorHAnsi" w:cstheme="minorHAnsi"/>
                <w:bCs/>
                <w:sz w:val="18"/>
                <w:szCs w:val="18"/>
              </w:rPr>
              <w:t>al of</w:t>
            </w:r>
            <w:r w:rsidR="00AD6256" w:rsidRPr="0043094B">
              <w:rPr>
                <w:rFonts w:asciiTheme="minorHAnsi" w:hAnsiTheme="minorHAnsi" w:cstheme="minorHAnsi"/>
                <w:bCs/>
                <w:sz w:val="18"/>
                <w:szCs w:val="18"/>
              </w:rPr>
              <w:t xml:space="preserve"> building and earth moving permits</w:t>
            </w:r>
            <w:r w:rsidR="00FD0CE7" w:rsidRPr="0043094B">
              <w:rPr>
                <w:rFonts w:asciiTheme="minorHAnsi" w:hAnsiTheme="minorHAnsi" w:cstheme="minorHAnsi"/>
                <w:bCs/>
                <w:sz w:val="18"/>
                <w:szCs w:val="18"/>
              </w:rPr>
              <w:t>.</w:t>
            </w:r>
          </w:p>
          <w:p w14:paraId="6735E4A3" w14:textId="48BEC223" w:rsidR="00943EBF" w:rsidRPr="0043094B" w:rsidRDefault="00943EBF" w:rsidP="00943EBF">
            <w:pPr>
              <w:pStyle w:val="ListParagraph"/>
              <w:ind w:left="77"/>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  </w:t>
            </w:r>
          </w:p>
          <w:p w14:paraId="2AD2A09D" w14:textId="77777777" w:rsidR="00FD0CE7" w:rsidRPr="0043094B" w:rsidRDefault="00FD0CE7" w:rsidP="00943EBF">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In addition to the three Top Tier agencies, PALARIS and NEPC (which is housed within PALARIS) have also benefitted from this project in terms of institutional capacity development.  </w:t>
            </w:r>
          </w:p>
          <w:p w14:paraId="4DC5F41E" w14:textId="77777777" w:rsidR="00FD0CE7" w:rsidRPr="0043094B" w:rsidRDefault="00FD0CE7" w:rsidP="00FD0CE7">
            <w:pPr>
              <w:pStyle w:val="ListParagraph"/>
              <w:ind w:left="77"/>
              <w:contextualSpacing/>
              <w:rPr>
                <w:rFonts w:asciiTheme="minorHAnsi" w:hAnsiTheme="minorHAnsi" w:cstheme="minorHAnsi"/>
                <w:bCs/>
                <w:sz w:val="18"/>
                <w:szCs w:val="18"/>
              </w:rPr>
            </w:pPr>
          </w:p>
          <w:p w14:paraId="3E32FE9C" w14:textId="77777777" w:rsidR="00943EBF" w:rsidRPr="0043094B" w:rsidRDefault="00FD0CE7" w:rsidP="00FD0CE7">
            <w:pPr>
              <w:pStyle w:val="ListParagraph"/>
              <w:numPr>
                <w:ilvl w:val="0"/>
                <w:numId w:val="10"/>
              </w:numPr>
              <w:ind w:left="415"/>
              <w:contextualSpacing/>
              <w:rPr>
                <w:rFonts w:asciiTheme="minorHAnsi" w:hAnsiTheme="minorHAnsi" w:cstheme="minorHAnsi"/>
                <w:bCs/>
                <w:sz w:val="18"/>
                <w:szCs w:val="18"/>
              </w:rPr>
            </w:pPr>
            <w:r w:rsidRPr="0043094B">
              <w:rPr>
                <w:rFonts w:asciiTheme="minorHAnsi" w:hAnsiTheme="minorHAnsi" w:cstheme="minorHAnsi"/>
                <w:bCs/>
                <w:sz w:val="18"/>
                <w:szCs w:val="18"/>
              </w:rPr>
              <w:t>NEPC’s role in coordination and information management (the CB2 PMU) have been largely supported by this project in terms of hosting meetings, daily operations and producing the above-mentioned reports.</w:t>
            </w:r>
          </w:p>
          <w:p w14:paraId="1EE0C83D" w14:textId="306E7F90" w:rsidR="00FD0CE7" w:rsidRPr="0043094B" w:rsidRDefault="00FD0CE7" w:rsidP="00FD0CE7">
            <w:pPr>
              <w:pStyle w:val="ListParagraph"/>
              <w:numPr>
                <w:ilvl w:val="0"/>
                <w:numId w:val="10"/>
              </w:numPr>
              <w:ind w:left="415"/>
              <w:contextualSpacing/>
              <w:rPr>
                <w:rFonts w:asciiTheme="minorHAnsi" w:hAnsiTheme="minorHAnsi" w:cstheme="minorHAnsi"/>
                <w:bCs/>
                <w:sz w:val="18"/>
                <w:szCs w:val="18"/>
              </w:rPr>
            </w:pPr>
            <w:r w:rsidRPr="0043094B">
              <w:rPr>
                <w:rFonts w:asciiTheme="minorHAnsi" w:hAnsiTheme="minorHAnsi" w:cstheme="minorHAnsi"/>
                <w:bCs/>
                <w:sz w:val="18"/>
                <w:szCs w:val="18"/>
              </w:rPr>
              <w:t>PALARIS has been able to develop its first Strategic Plan and determine a way to reorganize its internal structure with new critical positions, moving forward in anticipation of the creation of the Central Environmental Database, which is one of the anticipated outputs of this project.</w:t>
            </w:r>
          </w:p>
          <w:p w14:paraId="19F978EE" w14:textId="001C7ABC" w:rsidR="000A454D" w:rsidRPr="00104065" w:rsidRDefault="000A454D" w:rsidP="00104065">
            <w:pPr>
              <w:contextualSpacing/>
              <w:rPr>
                <w:rFonts w:cstheme="minorHAnsi"/>
                <w:bCs/>
                <w:sz w:val="18"/>
                <w:szCs w:val="18"/>
              </w:rPr>
            </w:pPr>
          </w:p>
        </w:tc>
      </w:tr>
      <w:tr w:rsidR="001B6AD7" w:rsidRPr="00891152" w14:paraId="3522B1E3" w14:textId="77777777" w:rsidTr="00095CFB">
        <w:tc>
          <w:tcPr>
            <w:tcW w:w="1075" w:type="dxa"/>
            <w:vMerge/>
            <w:shd w:val="clear" w:color="auto" w:fill="auto"/>
          </w:tcPr>
          <w:p w14:paraId="3BCF1FB9" w14:textId="77777777" w:rsidR="001B6AD7" w:rsidRPr="0043094B" w:rsidRDefault="001B6AD7" w:rsidP="00095CFB">
            <w:pPr>
              <w:pStyle w:val="para"/>
              <w:tabs>
                <w:tab w:val="clear" w:pos="720"/>
                <w:tab w:val="left" w:pos="167"/>
              </w:tabs>
              <w:spacing w:after="0"/>
              <w:ind w:right="-74"/>
              <w:jc w:val="left"/>
              <w:rPr>
                <w:rFonts w:asciiTheme="minorHAnsi" w:hAnsiTheme="minorHAnsi" w:cstheme="minorHAnsi"/>
                <w:b/>
                <w:sz w:val="18"/>
                <w:szCs w:val="18"/>
              </w:rPr>
            </w:pPr>
          </w:p>
        </w:tc>
        <w:tc>
          <w:tcPr>
            <w:tcW w:w="11677" w:type="dxa"/>
            <w:gridSpan w:val="4"/>
          </w:tcPr>
          <w:p w14:paraId="14A05A12" w14:textId="77777777" w:rsidR="001B6AD7" w:rsidRPr="0043094B" w:rsidRDefault="001B6AD7" w:rsidP="001B6AD7">
            <w:pPr>
              <w:contextualSpacing/>
              <w:jc w:val="center"/>
              <w:rPr>
                <w:rFonts w:cstheme="minorHAnsi"/>
                <w:b/>
                <w:bCs/>
                <w:sz w:val="18"/>
                <w:szCs w:val="18"/>
              </w:rPr>
            </w:pPr>
            <w:r w:rsidRPr="0043094B">
              <w:rPr>
                <w:rFonts w:cstheme="minorHAnsi"/>
                <w:b/>
                <w:bCs/>
                <w:sz w:val="18"/>
                <w:szCs w:val="18"/>
              </w:rPr>
              <w:t>2018 Progress</w:t>
            </w:r>
          </w:p>
          <w:p w14:paraId="66AC1C0F" w14:textId="77777777" w:rsidR="001B6AD7" w:rsidRPr="0043094B" w:rsidRDefault="001B6AD7" w:rsidP="001B6AD7">
            <w:pPr>
              <w:pStyle w:val="ListParagraph"/>
              <w:numPr>
                <w:ilvl w:val="0"/>
                <w:numId w:val="27"/>
              </w:numPr>
              <w:ind w:left="432"/>
              <w:contextualSpacing/>
              <w:rPr>
                <w:rFonts w:asciiTheme="minorHAnsi" w:hAnsiTheme="minorHAnsi" w:cstheme="minorHAnsi"/>
                <w:bCs/>
                <w:sz w:val="18"/>
                <w:szCs w:val="18"/>
              </w:rPr>
            </w:pPr>
            <w:r w:rsidRPr="0043094B">
              <w:rPr>
                <w:rFonts w:asciiTheme="minorHAnsi" w:hAnsiTheme="minorHAnsi" w:cstheme="minorHAnsi"/>
                <w:bCs/>
                <w:sz w:val="18"/>
                <w:szCs w:val="18"/>
              </w:rPr>
              <w:t>There has been a shift in the capacity building focus for agencies which are sources of information.  Initially, the focus went towards the Top Tier agencies (i.e., Bureau of Ag, Bureau of Marine Res, and EQPP.  After the initial requested capacity building activities were done for each agency, excel training for the two bureaus and EIA database updates for EQPB were done, additional capacity building needs were pending completion of the Central Database.</w:t>
            </w:r>
          </w:p>
          <w:p w14:paraId="00C36960" w14:textId="77777777" w:rsidR="000750CC" w:rsidRPr="0043094B" w:rsidRDefault="001B6AD7" w:rsidP="000750CC">
            <w:pPr>
              <w:pStyle w:val="ListParagraph"/>
              <w:numPr>
                <w:ilvl w:val="0"/>
                <w:numId w:val="27"/>
              </w:numPr>
              <w:ind w:left="432"/>
              <w:contextualSpacing/>
              <w:rPr>
                <w:rFonts w:asciiTheme="minorHAnsi" w:hAnsiTheme="minorHAnsi" w:cstheme="minorHAnsi"/>
                <w:bCs/>
                <w:sz w:val="18"/>
                <w:szCs w:val="18"/>
              </w:rPr>
            </w:pPr>
            <w:r w:rsidRPr="0043094B">
              <w:rPr>
                <w:rFonts w:asciiTheme="minorHAnsi" w:hAnsiTheme="minorHAnsi" w:cstheme="minorHAnsi"/>
                <w:bCs/>
                <w:sz w:val="18"/>
                <w:szCs w:val="18"/>
              </w:rPr>
              <w:t>As we tried to secure the IT to design the Central Database, we turned the capacity building focus on the PMU agencies:  PALARIS and NEPC.  PALARIS had its 5-Year Strategy and Action Plan updated and NEPC approved its Bylaws and SOP.   These outputs have significantly helped both agencies/bodies to be more effective by enabling them to be able to plan better and thus able to coordinate and bring other stakeholders on board to work together to achieve specific targets (e.g., organizing the 2</w:t>
            </w:r>
            <w:r w:rsidRPr="0043094B">
              <w:rPr>
                <w:rFonts w:asciiTheme="minorHAnsi" w:hAnsiTheme="minorHAnsi" w:cstheme="minorHAnsi"/>
                <w:bCs/>
                <w:sz w:val="18"/>
                <w:szCs w:val="18"/>
                <w:vertAlign w:val="superscript"/>
              </w:rPr>
              <w:t>nd</w:t>
            </w:r>
            <w:r w:rsidRPr="0043094B">
              <w:rPr>
                <w:rFonts w:asciiTheme="minorHAnsi" w:hAnsiTheme="minorHAnsi" w:cstheme="minorHAnsi"/>
                <w:bCs/>
                <w:sz w:val="18"/>
                <w:szCs w:val="18"/>
              </w:rPr>
              <w:t xml:space="preserve"> NES and getting the ABS law passed).</w:t>
            </w:r>
          </w:p>
          <w:p w14:paraId="5DEF01BE" w14:textId="63AE3C2C" w:rsidR="001B6AD7" w:rsidRPr="0043094B" w:rsidRDefault="001B6AD7" w:rsidP="000750CC">
            <w:pPr>
              <w:pStyle w:val="ListParagraph"/>
              <w:numPr>
                <w:ilvl w:val="0"/>
                <w:numId w:val="27"/>
              </w:numPr>
              <w:ind w:left="432"/>
              <w:contextualSpacing/>
              <w:rPr>
                <w:rFonts w:asciiTheme="minorHAnsi" w:hAnsiTheme="minorHAnsi" w:cstheme="minorHAnsi"/>
                <w:bCs/>
                <w:sz w:val="18"/>
                <w:szCs w:val="18"/>
              </w:rPr>
            </w:pPr>
            <w:r w:rsidRPr="0043094B">
              <w:rPr>
                <w:rFonts w:asciiTheme="minorHAnsi" w:hAnsiTheme="minorHAnsi" w:cstheme="minorHAnsi"/>
                <w:bCs/>
                <w:sz w:val="18"/>
                <w:szCs w:val="18"/>
              </w:rPr>
              <w:t>With the Central Database design having recently been recently dropped, because it’s no longer necessary, with the Inform Project online database filling in for this role, the next capacity building focus is to learn how to use the Inform Project database.  Initial participants will be PMU staff and later on, all other agencies that have the needed environmental data.  Immediate use of the Central Database is to provide information for the 2</w:t>
            </w:r>
            <w:r w:rsidRPr="0043094B">
              <w:rPr>
                <w:rFonts w:asciiTheme="minorHAnsi" w:hAnsiTheme="minorHAnsi" w:cstheme="minorHAnsi"/>
                <w:bCs/>
                <w:sz w:val="18"/>
                <w:szCs w:val="18"/>
                <w:vertAlign w:val="superscript"/>
              </w:rPr>
              <w:t>nd</w:t>
            </w:r>
            <w:r w:rsidRPr="0043094B">
              <w:rPr>
                <w:rFonts w:asciiTheme="minorHAnsi" w:hAnsiTheme="minorHAnsi" w:cstheme="minorHAnsi"/>
                <w:bCs/>
                <w:sz w:val="18"/>
                <w:szCs w:val="18"/>
              </w:rPr>
              <w:t xml:space="preserve"> SOE Report, expected to be disseminated to the leaders and the public in April 2019.</w:t>
            </w:r>
          </w:p>
        </w:tc>
      </w:tr>
      <w:tr w:rsidR="00AA6728" w:rsidRPr="00891152" w14:paraId="445A30F7" w14:textId="77777777" w:rsidTr="000551C4">
        <w:tc>
          <w:tcPr>
            <w:tcW w:w="1075" w:type="dxa"/>
            <w:vMerge/>
            <w:tcBorders>
              <w:bottom w:val="single" w:sz="4" w:space="0" w:color="auto"/>
            </w:tcBorders>
            <w:shd w:val="clear" w:color="auto" w:fill="auto"/>
          </w:tcPr>
          <w:p w14:paraId="6877C114" w14:textId="56734B28" w:rsidR="00AA6728" w:rsidRPr="0043094B" w:rsidRDefault="00AA6728" w:rsidP="00095CFB">
            <w:pPr>
              <w:pStyle w:val="para"/>
              <w:tabs>
                <w:tab w:val="clear" w:pos="720"/>
                <w:tab w:val="left" w:pos="167"/>
              </w:tabs>
              <w:spacing w:after="0"/>
              <w:ind w:right="-74"/>
              <w:jc w:val="left"/>
              <w:rPr>
                <w:rFonts w:asciiTheme="minorHAnsi" w:hAnsiTheme="minorHAnsi" w:cstheme="minorHAnsi"/>
                <w:b/>
                <w:sz w:val="18"/>
                <w:szCs w:val="18"/>
              </w:rPr>
            </w:pPr>
          </w:p>
        </w:tc>
        <w:tc>
          <w:tcPr>
            <w:tcW w:w="1597" w:type="dxa"/>
            <w:tcBorders>
              <w:bottom w:val="single" w:sz="4" w:space="0" w:color="auto"/>
            </w:tcBorders>
          </w:tcPr>
          <w:p w14:paraId="5537186C"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Quality of environmental monitoring </w:t>
            </w:r>
            <w:r w:rsidRPr="0043094B">
              <w:rPr>
                <w:rFonts w:asciiTheme="minorHAnsi" w:hAnsiTheme="minorHAnsi" w:cstheme="minorHAnsi"/>
                <w:bCs/>
                <w:sz w:val="18"/>
                <w:szCs w:val="18"/>
              </w:rPr>
              <w:lastRenderedPageBreak/>
              <w:t>reports and communications to measure implementation progress of the Rio Conventions</w:t>
            </w:r>
          </w:p>
        </w:tc>
        <w:tc>
          <w:tcPr>
            <w:tcW w:w="1440" w:type="dxa"/>
            <w:tcBorders>
              <w:bottom w:val="single" w:sz="4" w:space="0" w:color="auto"/>
            </w:tcBorders>
          </w:tcPr>
          <w:p w14:paraId="3DB0C040"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 xml:space="preserve">Current reports are produced with limited </w:t>
            </w:r>
            <w:r w:rsidRPr="0043094B">
              <w:rPr>
                <w:rFonts w:asciiTheme="minorHAnsi" w:hAnsiTheme="minorHAnsi" w:cstheme="minorHAnsi"/>
                <w:bCs/>
                <w:sz w:val="18"/>
                <w:szCs w:val="18"/>
              </w:rPr>
              <w:lastRenderedPageBreak/>
              <w:t>data, weak analysis and weak trend analysis and are not fully responding to national and international requirements.</w:t>
            </w:r>
          </w:p>
        </w:tc>
        <w:tc>
          <w:tcPr>
            <w:tcW w:w="1643" w:type="dxa"/>
            <w:tcBorders>
              <w:bottom w:val="single" w:sz="4" w:space="0" w:color="auto"/>
            </w:tcBorders>
          </w:tcPr>
          <w:p w14:paraId="40CC28FF" w14:textId="77777777" w:rsidR="00AA6728" w:rsidRPr="0043094B" w:rsidRDefault="00AA6728" w:rsidP="00095CFB">
            <w:pPr>
              <w:rPr>
                <w:rFonts w:cstheme="minorHAnsi"/>
                <w:sz w:val="18"/>
                <w:szCs w:val="18"/>
              </w:rPr>
            </w:pPr>
            <w:r w:rsidRPr="0043094B">
              <w:rPr>
                <w:rFonts w:cstheme="minorHAnsi"/>
                <w:bCs/>
                <w:sz w:val="18"/>
                <w:szCs w:val="18"/>
              </w:rPr>
              <w:lastRenderedPageBreak/>
              <w:t xml:space="preserve">Reports present adequate disaggregated data </w:t>
            </w:r>
            <w:r w:rsidRPr="0043094B">
              <w:rPr>
                <w:rFonts w:cstheme="minorHAnsi"/>
                <w:bCs/>
                <w:sz w:val="18"/>
                <w:szCs w:val="18"/>
              </w:rPr>
              <w:lastRenderedPageBreak/>
              <w:t>at local level, are informative and present environmental trends over time</w:t>
            </w:r>
          </w:p>
        </w:tc>
        <w:tc>
          <w:tcPr>
            <w:tcW w:w="6997" w:type="dxa"/>
            <w:tcBorders>
              <w:bottom w:val="single" w:sz="4" w:space="0" w:color="auto"/>
            </w:tcBorders>
          </w:tcPr>
          <w:p w14:paraId="3E781C9D" w14:textId="5D3F509E" w:rsidR="009F49FE" w:rsidRDefault="00FD0CE7"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The preparation and publication of the above mentioned reports demonstrate the progress achieved for this target.</w:t>
            </w:r>
            <w:r w:rsidR="001155A9" w:rsidRPr="0043094B">
              <w:rPr>
                <w:rFonts w:asciiTheme="minorHAnsi" w:hAnsiTheme="minorHAnsi" w:cstheme="minorHAnsi"/>
                <w:bCs/>
                <w:sz w:val="18"/>
                <w:szCs w:val="18"/>
              </w:rPr>
              <w:t xml:space="preserve">  Many of these reports have not been done before.  With their completion, Palau now has a common ‘baseline’ from which to improve on.</w:t>
            </w:r>
            <w:r w:rsidR="009F49FE">
              <w:rPr>
                <w:rFonts w:asciiTheme="minorHAnsi" w:hAnsiTheme="minorHAnsi" w:cstheme="minorHAnsi"/>
                <w:bCs/>
                <w:sz w:val="18"/>
                <w:szCs w:val="18"/>
              </w:rPr>
              <w:t xml:space="preserve">  </w:t>
            </w:r>
          </w:p>
          <w:p w14:paraId="78FB91ED" w14:textId="77777777" w:rsidR="009F49FE" w:rsidRDefault="009F49FE" w:rsidP="009F49FE">
            <w:pPr>
              <w:pStyle w:val="ListParagraph"/>
              <w:ind w:left="77"/>
              <w:contextualSpacing/>
              <w:rPr>
                <w:rFonts w:asciiTheme="minorHAnsi" w:hAnsiTheme="minorHAnsi" w:cstheme="minorHAnsi"/>
                <w:bCs/>
                <w:sz w:val="18"/>
                <w:szCs w:val="18"/>
              </w:rPr>
            </w:pPr>
          </w:p>
          <w:p w14:paraId="499BA7EE" w14:textId="20EE81F0" w:rsidR="00AA6728" w:rsidRPr="005D275C" w:rsidRDefault="009F49FE" w:rsidP="009F49FE">
            <w:pPr>
              <w:pStyle w:val="ListParagraph"/>
              <w:ind w:left="77"/>
              <w:contextualSpacing/>
              <w:rPr>
                <w:rFonts w:asciiTheme="minorHAnsi" w:hAnsiTheme="minorHAnsi" w:cstheme="minorHAnsi"/>
                <w:bCs/>
                <w:sz w:val="18"/>
                <w:szCs w:val="18"/>
              </w:rPr>
            </w:pPr>
            <w:r w:rsidRPr="005D275C">
              <w:rPr>
                <w:rFonts w:asciiTheme="minorHAnsi" w:hAnsiTheme="minorHAnsi" w:cstheme="minorHAnsi"/>
                <w:bCs/>
                <w:sz w:val="18"/>
                <w:szCs w:val="18"/>
              </w:rPr>
              <w:t>Below is a list of those reports:</w:t>
            </w:r>
          </w:p>
          <w:p w14:paraId="0049D232" w14:textId="0CED9A00" w:rsidR="009F49FE" w:rsidRPr="005D275C" w:rsidRDefault="009F49FE" w:rsidP="009F49FE">
            <w:pPr>
              <w:pStyle w:val="ListParagraph"/>
              <w:numPr>
                <w:ilvl w:val="0"/>
                <w:numId w:val="4"/>
              </w:numPr>
              <w:ind w:left="77" w:hanging="142"/>
              <w:contextualSpacing/>
              <w:rPr>
                <w:rFonts w:asciiTheme="minorHAnsi" w:hAnsiTheme="minorHAnsi" w:cstheme="minorHAnsi"/>
                <w:bCs/>
                <w:sz w:val="18"/>
                <w:szCs w:val="18"/>
              </w:rPr>
            </w:pPr>
            <w:r w:rsidRPr="005D275C">
              <w:rPr>
                <w:rFonts w:asciiTheme="minorHAnsi" w:hAnsiTheme="minorHAnsi" w:cstheme="minorHAnsi"/>
                <w:bCs/>
                <w:sz w:val="18"/>
                <w:szCs w:val="18"/>
              </w:rPr>
              <w:t>Tangible outputs attained (provided as Annexes)</w:t>
            </w:r>
          </w:p>
          <w:p w14:paraId="2B11896E" w14:textId="77777777" w:rsidR="009F49FE" w:rsidRPr="005D275C" w:rsidRDefault="009F49FE" w:rsidP="009F49FE">
            <w:pPr>
              <w:pStyle w:val="ListParagraph"/>
              <w:numPr>
                <w:ilvl w:val="0"/>
                <w:numId w:val="8"/>
              </w:numPr>
              <w:contextualSpacing/>
              <w:rPr>
                <w:rFonts w:asciiTheme="minorHAnsi" w:hAnsiTheme="minorHAnsi" w:cstheme="minorHAnsi"/>
                <w:bCs/>
                <w:sz w:val="18"/>
                <w:szCs w:val="18"/>
              </w:rPr>
            </w:pPr>
            <w:r w:rsidRPr="005D275C">
              <w:rPr>
                <w:rFonts w:asciiTheme="minorHAnsi" w:hAnsiTheme="minorHAnsi" w:cstheme="minorHAnsi"/>
                <w:bCs/>
                <w:sz w:val="18"/>
                <w:szCs w:val="18"/>
              </w:rPr>
              <w:t>5 Reports:</w:t>
            </w:r>
          </w:p>
          <w:p w14:paraId="5AD1FC74" w14:textId="77777777" w:rsidR="009F49FE" w:rsidRPr="005D275C" w:rsidRDefault="009F49FE" w:rsidP="009F49FE">
            <w:pPr>
              <w:contextualSpacing/>
              <w:rPr>
                <w:rFonts w:cstheme="minorHAnsi"/>
                <w:bCs/>
                <w:sz w:val="18"/>
                <w:szCs w:val="18"/>
              </w:rPr>
            </w:pPr>
            <w:r w:rsidRPr="005D275C">
              <w:rPr>
                <w:rFonts w:cstheme="minorHAnsi"/>
                <w:bCs/>
                <w:sz w:val="18"/>
                <w:szCs w:val="18"/>
              </w:rPr>
              <w:t>Annex 1. Inventory of environmental information data sets</w:t>
            </w:r>
          </w:p>
          <w:p w14:paraId="44CEDEE8" w14:textId="77777777" w:rsidR="009F49FE" w:rsidRPr="005D275C" w:rsidRDefault="009F49FE" w:rsidP="009F49FE">
            <w:pPr>
              <w:contextualSpacing/>
              <w:rPr>
                <w:rFonts w:cstheme="minorHAnsi"/>
                <w:bCs/>
                <w:sz w:val="18"/>
                <w:szCs w:val="18"/>
              </w:rPr>
            </w:pPr>
            <w:r w:rsidRPr="005D275C">
              <w:rPr>
                <w:rFonts w:cstheme="minorHAnsi"/>
                <w:bCs/>
                <w:sz w:val="18"/>
                <w:szCs w:val="18"/>
              </w:rPr>
              <w:t>Annex 2. Report on environmental information gaps, policy and legislative gaps, and environmental information needs of key stakeholders</w:t>
            </w:r>
          </w:p>
          <w:p w14:paraId="4F4A5248" w14:textId="77777777" w:rsidR="009F49FE" w:rsidRPr="005D275C" w:rsidRDefault="009F49FE" w:rsidP="009F49FE">
            <w:pPr>
              <w:contextualSpacing/>
              <w:rPr>
                <w:rFonts w:cstheme="minorHAnsi"/>
                <w:bCs/>
                <w:sz w:val="18"/>
                <w:szCs w:val="18"/>
              </w:rPr>
            </w:pPr>
            <w:r w:rsidRPr="005D275C">
              <w:rPr>
                <w:rFonts w:cstheme="minorHAnsi"/>
                <w:bCs/>
                <w:sz w:val="18"/>
                <w:szCs w:val="18"/>
              </w:rPr>
              <w:t>Annex 3.  Review and assessment of protocols for environmental data sharing and identification of environmental reporting obligations</w:t>
            </w:r>
          </w:p>
          <w:p w14:paraId="7143727D" w14:textId="77777777" w:rsidR="009F49FE" w:rsidRPr="005D275C" w:rsidRDefault="009F49FE" w:rsidP="009F49FE">
            <w:pPr>
              <w:contextualSpacing/>
              <w:rPr>
                <w:rFonts w:cstheme="minorHAnsi"/>
                <w:bCs/>
                <w:sz w:val="18"/>
                <w:szCs w:val="18"/>
              </w:rPr>
            </w:pPr>
            <w:r w:rsidRPr="005D275C">
              <w:rPr>
                <w:rFonts w:cstheme="minorHAnsi"/>
                <w:bCs/>
                <w:sz w:val="18"/>
                <w:szCs w:val="18"/>
              </w:rPr>
              <w:t>Annex 4.  NEPC 2016 Annual Review</w:t>
            </w:r>
          </w:p>
          <w:p w14:paraId="438C198D" w14:textId="77777777" w:rsidR="009F49FE" w:rsidRPr="005D275C" w:rsidRDefault="009F49FE" w:rsidP="009F49FE">
            <w:pPr>
              <w:contextualSpacing/>
              <w:rPr>
                <w:rFonts w:cstheme="minorHAnsi"/>
                <w:bCs/>
                <w:sz w:val="18"/>
                <w:szCs w:val="18"/>
              </w:rPr>
            </w:pPr>
            <w:r w:rsidRPr="005D275C">
              <w:rPr>
                <w:rFonts w:cstheme="minorHAnsi"/>
                <w:bCs/>
                <w:sz w:val="18"/>
                <w:szCs w:val="18"/>
              </w:rPr>
              <w:t>Annex 5.  Palau’s State of the Environment (SOE) Report 2017</w:t>
            </w:r>
          </w:p>
          <w:p w14:paraId="70BCFEAD" w14:textId="77777777" w:rsidR="009F49FE" w:rsidRPr="005D275C" w:rsidRDefault="009F49FE" w:rsidP="009F49FE">
            <w:pPr>
              <w:contextualSpacing/>
              <w:rPr>
                <w:rFonts w:cstheme="minorHAnsi"/>
                <w:bCs/>
                <w:sz w:val="18"/>
                <w:szCs w:val="18"/>
              </w:rPr>
            </w:pPr>
            <w:r w:rsidRPr="005D275C">
              <w:rPr>
                <w:rFonts w:cstheme="minorHAnsi"/>
                <w:bCs/>
                <w:sz w:val="18"/>
                <w:szCs w:val="18"/>
              </w:rPr>
              <w:t>Annex 6.  National Core SDG Indicators</w:t>
            </w:r>
          </w:p>
          <w:p w14:paraId="1D83257E" w14:textId="77777777" w:rsidR="009F49FE" w:rsidRPr="005D275C" w:rsidRDefault="009F49FE" w:rsidP="009F49FE">
            <w:pPr>
              <w:pStyle w:val="ListParagraph"/>
              <w:contextualSpacing/>
              <w:rPr>
                <w:rFonts w:asciiTheme="minorHAnsi" w:hAnsiTheme="minorHAnsi" w:cstheme="minorHAnsi"/>
                <w:bCs/>
                <w:sz w:val="18"/>
                <w:szCs w:val="18"/>
              </w:rPr>
            </w:pPr>
          </w:p>
          <w:p w14:paraId="4B4202F4" w14:textId="77777777" w:rsidR="009F49FE" w:rsidRPr="005D275C" w:rsidRDefault="009F49FE" w:rsidP="009F49FE">
            <w:pPr>
              <w:pStyle w:val="ListParagraph"/>
              <w:numPr>
                <w:ilvl w:val="0"/>
                <w:numId w:val="8"/>
              </w:numPr>
              <w:contextualSpacing/>
              <w:rPr>
                <w:rFonts w:asciiTheme="minorHAnsi" w:hAnsiTheme="minorHAnsi" w:cstheme="minorHAnsi"/>
                <w:bCs/>
                <w:sz w:val="18"/>
                <w:szCs w:val="18"/>
              </w:rPr>
            </w:pPr>
            <w:r w:rsidRPr="005D275C">
              <w:rPr>
                <w:rFonts w:asciiTheme="minorHAnsi" w:hAnsiTheme="minorHAnsi" w:cstheme="minorHAnsi"/>
                <w:bCs/>
                <w:sz w:val="18"/>
                <w:szCs w:val="18"/>
              </w:rPr>
              <w:t>Conference:  1</w:t>
            </w:r>
            <w:r w:rsidRPr="005D275C">
              <w:rPr>
                <w:rFonts w:asciiTheme="minorHAnsi" w:hAnsiTheme="minorHAnsi" w:cstheme="minorHAnsi"/>
                <w:bCs/>
                <w:sz w:val="18"/>
                <w:szCs w:val="18"/>
                <w:vertAlign w:val="superscript"/>
              </w:rPr>
              <w:t>st</w:t>
            </w:r>
            <w:r w:rsidRPr="005D275C">
              <w:rPr>
                <w:rFonts w:asciiTheme="minorHAnsi" w:hAnsiTheme="minorHAnsi" w:cstheme="minorHAnsi"/>
                <w:bCs/>
                <w:sz w:val="18"/>
                <w:szCs w:val="18"/>
              </w:rPr>
              <w:t xml:space="preserve"> National Environment Symposium </w:t>
            </w:r>
          </w:p>
          <w:p w14:paraId="03D966BF" w14:textId="38DD4CCD" w:rsidR="009F49FE" w:rsidRPr="0043094B" w:rsidRDefault="009F49FE" w:rsidP="00AA6728">
            <w:pPr>
              <w:pStyle w:val="ListParagraph"/>
              <w:numPr>
                <w:ilvl w:val="0"/>
                <w:numId w:val="4"/>
              </w:numPr>
              <w:ind w:left="77" w:hanging="142"/>
              <w:contextualSpacing/>
              <w:rPr>
                <w:rFonts w:asciiTheme="minorHAnsi" w:hAnsiTheme="minorHAnsi" w:cstheme="minorHAnsi"/>
                <w:bCs/>
                <w:sz w:val="18"/>
                <w:szCs w:val="18"/>
              </w:rPr>
            </w:pPr>
          </w:p>
        </w:tc>
      </w:tr>
      <w:tr w:rsidR="000551C4" w:rsidRPr="00891152" w14:paraId="214E325A" w14:textId="77777777" w:rsidTr="00095CFB">
        <w:tc>
          <w:tcPr>
            <w:tcW w:w="1075" w:type="dxa"/>
            <w:vMerge/>
            <w:tcBorders>
              <w:bottom w:val="single" w:sz="4" w:space="0" w:color="auto"/>
            </w:tcBorders>
            <w:shd w:val="clear" w:color="auto" w:fill="auto"/>
          </w:tcPr>
          <w:p w14:paraId="47A8A368" w14:textId="73863FC8" w:rsidR="000551C4" w:rsidRPr="0043094B" w:rsidRDefault="000551C4" w:rsidP="00095CFB">
            <w:pPr>
              <w:pStyle w:val="para"/>
              <w:tabs>
                <w:tab w:val="clear" w:pos="720"/>
                <w:tab w:val="left" w:pos="167"/>
              </w:tabs>
              <w:spacing w:after="0"/>
              <w:ind w:right="-74"/>
              <w:jc w:val="left"/>
              <w:rPr>
                <w:rFonts w:asciiTheme="minorHAnsi" w:hAnsiTheme="minorHAnsi" w:cstheme="minorHAnsi"/>
                <w:b/>
                <w:sz w:val="18"/>
                <w:szCs w:val="18"/>
              </w:rPr>
            </w:pPr>
          </w:p>
        </w:tc>
        <w:tc>
          <w:tcPr>
            <w:tcW w:w="11677" w:type="dxa"/>
            <w:gridSpan w:val="4"/>
            <w:tcBorders>
              <w:bottom w:val="single" w:sz="4" w:space="0" w:color="auto"/>
            </w:tcBorders>
          </w:tcPr>
          <w:p w14:paraId="7E9D9127" w14:textId="77777777" w:rsidR="000551C4" w:rsidRPr="0043094B" w:rsidRDefault="000551C4" w:rsidP="000551C4">
            <w:pPr>
              <w:pStyle w:val="ListParagraph"/>
              <w:ind w:left="77"/>
              <w:contextualSpacing/>
              <w:jc w:val="center"/>
              <w:rPr>
                <w:rFonts w:asciiTheme="minorHAnsi" w:hAnsiTheme="minorHAnsi" w:cstheme="minorHAnsi"/>
                <w:b/>
                <w:bCs/>
                <w:sz w:val="18"/>
                <w:szCs w:val="18"/>
              </w:rPr>
            </w:pPr>
            <w:r w:rsidRPr="0043094B">
              <w:rPr>
                <w:rFonts w:asciiTheme="minorHAnsi" w:hAnsiTheme="minorHAnsi" w:cstheme="minorHAnsi"/>
                <w:b/>
                <w:bCs/>
                <w:sz w:val="18"/>
                <w:szCs w:val="18"/>
              </w:rPr>
              <w:t>2018 Progress</w:t>
            </w:r>
          </w:p>
          <w:p w14:paraId="0E6186A9" w14:textId="77777777" w:rsidR="000551C4" w:rsidRPr="0043094B" w:rsidRDefault="0090446E" w:rsidP="0090446E">
            <w:pPr>
              <w:pStyle w:val="ListParagraph"/>
              <w:numPr>
                <w:ilvl w:val="0"/>
                <w:numId w:val="28"/>
              </w:numPr>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The delayed completion of the Central Database makes it difficult to demonstrate systematically how well we have achieved this objective because there is still no concrete output to show this.  </w:t>
            </w:r>
          </w:p>
          <w:p w14:paraId="3347BEAD" w14:textId="7698801A" w:rsidR="0090446E" w:rsidRPr="0043094B" w:rsidRDefault="0090446E" w:rsidP="0090446E">
            <w:pPr>
              <w:pStyle w:val="ListParagraph"/>
              <w:numPr>
                <w:ilvl w:val="0"/>
                <w:numId w:val="28"/>
              </w:numPr>
              <w:contextualSpacing/>
              <w:rPr>
                <w:rFonts w:asciiTheme="minorHAnsi" w:hAnsiTheme="minorHAnsi" w:cstheme="minorHAnsi"/>
                <w:bCs/>
                <w:sz w:val="18"/>
                <w:szCs w:val="18"/>
              </w:rPr>
            </w:pPr>
            <w:r w:rsidRPr="0043094B">
              <w:rPr>
                <w:rFonts w:asciiTheme="minorHAnsi" w:hAnsiTheme="minorHAnsi" w:cstheme="minorHAnsi"/>
                <w:bCs/>
                <w:sz w:val="18"/>
                <w:szCs w:val="18"/>
              </w:rPr>
              <w:t>However, small but significant incremental progress have been made and they are demonstrated by:</w:t>
            </w:r>
          </w:p>
          <w:p w14:paraId="626ABBE7" w14:textId="33A3F035" w:rsidR="0090446E" w:rsidRPr="0043094B" w:rsidRDefault="0090446E" w:rsidP="0090446E">
            <w:pPr>
              <w:pStyle w:val="ListParagraph"/>
              <w:numPr>
                <w:ilvl w:val="0"/>
                <w:numId w:val="29"/>
              </w:numPr>
              <w:contextualSpacing/>
              <w:rPr>
                <w:rFonts w:asciiTheme="minorHAnsi" w:hAnsiTheme="minorHAnsi" w:cstheme="minorHAnsi"/>
                <w:bCs/>
                <w:sz w:val="18"/>
                <w:szCs w:val="18"/>
              </w:rPr>
            </w:pPr>
            <w:r w:rsidRPr="0043094B">
              <w:rPr>
                <w:rFonts w:asciiTheme="minorHAnsi" w:hAnsiTheme="minorHAnsi" w:cstheme="minorHAnsi"/>
                <w:bCs/>
                <w:sz w:val="18"/>
                <w:szCs w:val="18"/>
              </w:rPr>
              <w:t>Completion of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SOE and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NES reports – in addition to serving both as a guide and initial templates for future reports, the experience that went into producing these reports has built all key players’ capacity in development of future reports.  Furthermore, in developing these reports, we now know the “go-to” personnel within each key agency for specific information.</w:t>
            </w:r>
          </w:p>
          <w:p w14:paraId="55CEB147" w14:textId="2E01096E" w:rsidR="0090446E" w:rsidRPr="0043094B" w:rsidRDefault="0090446E" w:rsidP="0090446E">
            <w:pPr>
              <w:pStyle w:val="ListParagraph"/>
              <w:numPr>
                <w:ilvl w:val="0"/>
                <w:numId w:val="29"/>
              </w:numPr>
              <w:contextualSpacing/>
              <w:rPr>
                <w:rFonts w:asciiTheme="minorHAnsi" w:hAnsiTheme="minorHAnsi" w:cstheme="minorHAnsi"/>
                <w:bCs/>
                <w:sz w:val="18"/>
                <w:szCs w:val="18"/>
              </w:rPr>
            </w:pPr>
            <w:r w:rsidRPr="0043094B">
              <w:rPr>
                <w:rFonts w:asciiTheme="minorHAnsi" w:hAnsiTheme="minorHAnsi" w:cstheme="minorHAnsi"/>
                <w:bCs/>
                <w:sz w:val="18"/>
                <w:szCs w:val="18"/>
              </w:rPr>
              <w:t>The publication of these reports also provide a baseline from which future reports will be picking up on and thus have established the needed enabling condition towards progressive reports instead of several “baselines” or “pilot project reports”.</w:t>
            </w:r>
          </w:p>
          <w:p w14:paraId="6F6C4DA8" w14:textId="667206F3" w:rsidR="004D6E6F" w:rsidRPr="004D6E6F" w:rsidRDefault="0090446E" w:rsidP="004D6E6F">
            <w:pPr>
              <w:pStyle w:val="ListParagraph"/>
              <w:numPr>
                <w:ilvl w:val="0"/>
                <w:numId w:val="29"/>
              </w:numPr>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Public access to these reports also provide an opportunity for broader groups of stakeholders to provide input, question and/or challenge what is being reported.  </w:t>
            </w:r>
            <w:r w:rsidR="005A14EC">
              <w:rPr>
                <w:rFonts w:asciiTheme="minorHAnsi" w:hAnsiTheme="minorHAnsi" w:cstheme="minorHAnsi"/>
                <w:bCs/>
                <w:sz w:val="18"/>
                <w:szCs w:val="18"/>
              </w:rPr>
              <w:t>For example, because of the 1</w:t>
            </w:r>
            <w:r w:rsidR="005A14EC" w:rsidRPr="004D6E6F">
              <w:rPr>
                <w:rFonts w:asciiTheme="minorHAnsi" w:hAnsiTheme="minorHAnsi" w:cstheme="minorHAnsi"/>
                <w:bCs/>
                <w:sz w:val="18"/>
                <w:szCs w:val="18"/>
              </w:rPr>
              <w:t>st</w:t>
            </w:r>
            <w:r w:rsidR="005A14EC">
              <w:rPr>
                <w:rFonts w:asciiTheme="minorHAnsi" w:hAnsiTheme="minorHAnsi" w:cstheme="minorHAnsi"/>
                <w:bCs/>
                <w:sz w:val="18"/>
                <w:szCs w:val="18"/>
              </w:rPr>
              <w:t xml:space="preserve">S report, when </w:t>
            </w:r>
            <w:r w:rsidRPr="0043094B">
              <w:rPr>
                <w:rFonts w:asciiTheme="minorHAnsi" w:hAnsiTheme="minorHAnsi" w:cstheme="minorHAnsi"/>
                <w:bCs/>
                <w:sz w:val="18"/>
                <w:szCs w:val="18"/>
              </w:rPr>
              <w:t>This broader engagement of stakeholders will also further enhance the scope, breadth and quality of future reports.</w:t>
            </w:r>
            <w:r w:rsidR="004D6E6F">
              <w:rPr>
                <w:rFonts w:asciiTheme="minorHAnsi" w:hAnsiTheme="minorHAnsi" w:cstheme="minorHAnsi"/>
                <w:bCs/>
                <w:sz w:val="18"/>
                <w:szCs w:val="18"/>
              </w:rPr>
              <w:t xml:space="preserve"> </w:t>
            </w:r>
            <w:r w:rsidR="004D6E6F" w:rsidRPr="004D6E6F">
              <w:rPr>
                <w:rFonts w:asciiTheme="minorHAnsi" w:hAnsiTheme="minorHAnsi" w:cstheme="minorHAnsi"/>
                <w:bCs/>
                <w:sz w:val="18"/>
                <w:szCs w:val="18"/>
              </w:rPr>
              <w:t>Public access is enabled via distribution of printed   copies to the leaders at the State of the Republic Address (1st SOE report) and distribution of the 1st NES report during the 2nd NES in their conference package.</w:t>
            </w:r>
          </w:p>
          <w:p w14:paraId="6AFDAFCD" w14:textId="71DEA2F3" w:rsidR="0090446E" w:rsidRPr="0043094B" w:rsidRDefault="00A3400F" w:rsidP="004D6E6F">
            <w:pPr>
              <w:pStyle w:val="ListParagraph"/>
              <w:numPr>
                <w:ilvl w:val="0"/>
                <w:numId w:val="29"/>
              </w:numPr>
              <w:contextualSpacing/>
              <w:rPr>
                <w:rFonts w:asciiTheme="minorHAnsi" w:hAnsiTheme="minorHAnsi" w:cstheme="minorHAnsi"/>
                <w:bCs/>
                <w:sz w:val="18"/>
                <w:szCs w:val="18"/>
              </w:rPr>
            </w:pPr>
            <w:r w:rsidRPr="0043094B">
              <w:rPr>
                <w:rFonts w:asciiTheme="minorHAnsi" w:hAnsiTheme="minorHAnsi" w:cstheme="minorHAnsi"/>
                <w:bCs/>
                <w:sz w:val="18"/>
                <w:szCs w:val="18"/>
              </w:rPr>
              <w:t>In addition to the SOE and NES reports, there is also an initial list of Palau’s National SDG Core Indicators List which will ensure a direct link between national and UN-related reporting.</w:t>
            </w:r>
          </w:p>
        </w:tc>
      </w:tr>
      <w:tr w:rsidR="00AA6728" w:rsidRPr="00891152" w14:paraId="52AEC79C" w14:textId="77777777" w:rsidTr="000551C4">
        <w:tc>
          <w:tcPr>
            <w:tcW w:w="1075" w:type="dxa"/>
            <w:vMerge/>
            <w:tcBorders>
              <w:bottom w:val="single" w:sz="4" w:space="0" w:color="auto"/>
            </w:tcBorders>
            <w:shd w:val="clear" w:color="auto" w:fill="auto"/>
          </w:tcPr>
          <w:p w14:paraId="53155CA1" w14:textId="684B4320" w:rsidR="00AA6728" w:rsidRPr="0043094B" w:rsidRDefault="00AA6728" w:rsidP="00095CFB">
            <w:pPr>
              <w:pStyle w:val="para"/>
              <w:tabs>
                <w:tab w:val="clear" w:pos="720"/>
                <w:tab w:val="left" w:pos="167"/>
              </w:tabs>
              <w:spacing w:after="0"/>
              <w:ind w:right="-74"/>
              <w:jc w:val="left"/>
              <w:rPr>
                <w:rFonts w:asciiTheme="minorHAnsi" w:hAnsiTheme="minorHAnsi" w:cstheme="minorHAnsi"/>
                <w:b/>
                <w:sz w:val="18"/>
                <w:szCs w:val="18"/>
              </w:rPr>
            </w:pPr>
          </w:p>
        </w:tc>
        <w:tc>
          <w:tcPr>
            <w:tcW w:w="1597" w:type="dxa"/>
            <w:tcBorders>
              <w:bottom w:val="single" w:sz="4" w:space="0" w:color="auto"/>
            </w:tcBorders>
          </w:tcPr>
          <w:p w14:paraId="758F71B7"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Capacity development scorecard rating</w:t>
            </w:r>
          </w:p>
        </w:tc>
        <w:tc>
          <w:tcPr>
            <w:tcW w:w="1440" w:type="dxa"/>
            <w:tcBorders>
              <w:bottom w:val="single" w:sz="4" w:space="0" w:color="auto"/>
            </w:tcBorders>
          </w:tcPr>
          <w:p w14:paraId="1B0A6288" w14:textId="77777777" w:rsidR="00AA6728" w:rsidRPr="0043094B" w:rsidRDefault="00AA6728" w:rsidP="00095CFB">
            <w:pPr>
              <w:rPr>
                <w:rFonts w:cstheme="minorHAnsi"/>
                <w:sz w:val="18"/>
                <w:szCs w:val="18"/>
              </w:rPr>
            </w:pPr>
            <w:r w:rsidRPr="0043094B">
              <w:rPr>
                <w:rFonts w:cstheme="minorHAnsi"/>
                <w:sz w:val="18"/>
                <w:szCs w:val="18"/>
              </w:rPr>
              <w:t xml:space="preserve">Capacity for: </w:t>
            </w:r>
          </w:p>
          <w:p w14:paraId="7872C85B"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Engagement: 4 of 9</w:t>
            </w:r>
          </w:p>
          <w:p w14:paraId="667D39CD"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 xml:space="preserve">Generate, access and use information and </w:t>
            </w:r>
            <w:r w:rsidRPr="0043094B">
              <w:rPr>
                <w:rFonts w:cstheme="minorHAnsi"/>
                <w:sz w:val="18"/>
                <w:szCs w:val="18"/>
              </w:rPr>
              <w:lastRenderedPageBreak/>
              <w:t>knowledge: 8 of 15</w:t>
            </w:r>
          </w:p>
          <w:p w14:paraId="6D1F594B"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Policy and legislation development: 5 of 9</w:t>
            </w:r>
          </w:p>
          <w:p w14:paraId="66B17AB2"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Management and implementation: 3 of 6</w:t>
            </w:r>
          </w:p>
          <w:p w14:paraId="41BCE098"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Monitor and evaluate: 3 of 6</w:t>
            </w:r>
          </w:p>
          <w:p w14:paraId="06011092" w14:textId="77777777" w:rsidR="00AA6728" w:rsidRPr="0043094B" w:rsidRDefault="00AA6728" w:rsidP="00095CFB">
            <w:pPr>
              <w:pStyle w:val="ListParagraph"/>
              <w:ind w:left="77"/>
              <w:rPr>
                <w:rFonts w:asciiTheme="minorHAnsi" w:hAnsiTheme="minorHAnsi" w:cstheme="minorHAnsi"/>
                <w:bCs/>
                <w:sz w:val="18"/>
                <w:szCs w:val="18"/>
              </w:rPr>
            </w:pPr>
            <w:r w:rsidRPr="0043094B">
              <w:rPr>
                <w:rFonts w:asciiTheme="minorHAnsi" w:hAnsiTheme="minorHAnsi" w:cstheme="minorHAnsi"/>
                <w:sz w:val="18"/>
                <w:szCs w:val="18"/>
              </w:rPr>
              <w:t>(Total score: 23/45)</w:t>
            </w:r>
          </w:p>
        </w:tc>
        <w:tc>
          <w:tcPr>
            <w:tcW w:w="1643" w:type="dxa"/>
            <w:tcBorders>
              <w:bottom w:val="single" w:sz="4" w:space="0" w:color="auto"/>
            </w:tcBorders>
          </w:tcPr>
          <w:p w14:paraId="71E57359" w14:textId="77777777" w:rsidR="00AA6728" w:rsidRPr="0043094B" w:rsidRDefault="00AA6728" w:rsidP="00095CFB">
            <w:pPr>
              <w:rPr>
                <w:rFonts w:cstheme="minorHAnsi"/>
                <w:sz w:val="18"/>
                <w:szCs w:val="18"/>
              </w:rPr>
            </w:pPr>
            <w:r w:rsidRPr="0043094B">
              <w:rPr>
                <w:rFonts w:cstheme="minorHAnsi"/>
                <w:sz w:val="18"/>
                <w:szCs w:val="18"/>
              </w:rPr>
              <w:lastRenderedPageBreak/>
              <w:t xml:space="preserve">Capacity for: </w:t>
            </w:r>
          </w:p>
          <w:p w14:paraId="0A871406"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Engagement: 6 of 9</w:t>
            </w:r>
          </w:p>
          <w:p w14:paraId="7B17D2DD"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Generate, access and use information and knowledge: 12 of 15</w:t>
            </w:r>
          </w:p>
          <w:p w14:paraId="5C015A53"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lastRenderedPageBreak/>
              <w:t>Policy and legislation development: 6 of 9</w:t>
            </w:r>
          </w:p>
          <w:p w14:paraId="3AF30DAD"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Management and implementation: 4 of 6</w:t>
            </w:r>
          </w:p>
          <w:p w14:paraId="1960726D" w14:textId="77777777" w:rsidR="00AA6728" w:rsidRPr="0043094B" w:rsidRDefault="00AA6728" w:rsidP="00AA6728">
            <w:pPr>
              <w:numPr>
                <w:ilvl w:val="0"/>
                <w:numId w:val="5"/>
              </w:numPr>
              <w:tabs>
                <w:tab w:val="clear" w:pos="720"/>
                <w:tab w:val="num" w:pos="219"/>
              </w:tabs>
              <w:spacing w:after="0" w:line="240" w:lineRule="auto"/>
              <w:ind w:left="219" w:hanging="219"/>
              <w:rPr>
                <w:rFonts w:cstheme="minorHAnsi"/>
                <w:sz w:val="18"/>
                <w:szCs w:val="18"/>
              </w:rPr>
            </w:pPr>
            <w:r w:rsidRPr="0043094B">
              <w:rPr>
                <w:rFonts w:cstheme="minorHAnsi"/>
                <w:sz w:val="18"/>
                <w:szCs w:val="18"/>
              </w:rPr>
              <w:t>Monitor and evaluate: 4 of 6</w:t>
            </w:r>
          </w:p>
          <w:p w14:paraId="24128B81" w14:textId="77777777" w:rsidR="00AA6728" w:rsidRPr="0043094B" w:rsidRDefault="00AA6728" w:rsidP="00095CFB">
            <w:pPr>
              <w:ind w:left="-65"/>
              <w:rPr>
                <w:rFonts w:cstheme="minorHAnsi"/>
                <w:bCs/>
                <w:sz w:val="18"/>
                <w:szCs w:val="18"/>
              </w:rPr>
            </w:pPr>
            <w:r w:rsidRPr="0043094B">
              <w:rPr>
                <w:rFonts w:cstheme="minorHAnsi"/>
                <w:sz w:val="18"/>
                <w:szCs w:val="18"/>
              </w:rPr>
              <w:t>(Total targeted score: 32/45)</w:t>
            </w:r>
          </w:p>
        </w:tc>
        <w:tc>
          <w:tcPr>
            <w:tcW w:w="6997" w:type="dxa"/>
            <w:tcBorders>
              <w:bottom w:val="single" w:sz="4" w:space="0" w:color="auto"/>
            </w:tcBorders>
          </w:tcPr>
          <w:p w14:paraId="44534E3A" w14:textId="44199B10" w:rsidR="00AA6728" w:rsidRPr="0043094B" w:rsidRDefault="001155A9" w:rsidP="001155A9">
            <w:pPr>
              <w:pStyle w:val="ListParagraph"/>
              <w:ind w:left="77"/>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Capacity for CB2 and NEPC Members’ Organizations</w:t>
            </w:r>
          </w:p>
          <w:p w14:paraId="7AED8E4A" w14:textId="2B1399F0" w:rsidR="001155A9" w:rsidRPr="0043094B" w:rsidRDefault="001155A9" w:rsidP="001155A9">
            <w:pPr>
              <w:pStyle w:val="ListParagraph"/>
              <w:ind w:left="77"/>
              <w:contextualSpacing/>
              <w:rPr>
                <w:rFonts w:asciiTheme="minorHAnsi" w:hAnsiTheme="minorHAnsi" w:cstheme="minorHAnsi"/>
                <w:bCs/>
                <w:sz w:val="18"/>
                <w:szCs w:val="18"/>
              </w:rPr>
            </w:pPr>
          </w:p>
          <w:p w14:paraId="006C9862" w14:textId="32B5D0D9" w:rsidR="001155A9" w:rsidRPr="0043094B" w:rsidRDefault="001155A9" w:rsidP="00E84890">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Engagement – NEPC has 21 members; CB2 Ad Hoc </w:t>
            </w:r>
            <w:r w:rsidR="009E08AC">
              <w:rPr>
                <w:rFonts w:asciiTheme="minorHAnsi" w:hAnsiTheme="minorHAnsi" w:cstheme="minorHAnsi"/>
                <w:bCs/>
                <w:sz w:val="18"/>
                <w:szCs w:val="18"/>
              </w:rPr>
              <w:t>Committee</w:t>
            </w:r>
            <w:r w:rsidR="00E84890" w:rsidRPr="0043094B">
              <w:rPr>
                <w:rFonts w:asciiTheme="minorHAnsi" w:hAnsiTheme="minorHAnsi" w:cstheme="minorHAnsi"/>
                <w:bCs/>
                <w:sz w:val="18"/>
                <w:szCs w:val="18"/>
              </w:rPr>
              <w:t xml:space="preserve"> has 16, of which 10 members are also NEPC members.    </w:t>
            </w:r>
          </w:p>
          <w:p w14:paraId="5C972660" w14:textId="0F8D5833" w:rsidR="00E84890" w:rsidRPr="0043094B" w:rsidRDefault="00E84890" w:rsidP="00E84890">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The State of the Environment Report and the 1</w:t>
            </w:r>
            <w:r w:rsidRPr="0043094B">
              <w:rPr>
                <w:rFonts w:asciiTheme="minorHAnsi" w:hAnsiTheme="minorHAnsi" w:cstheme="minorHAnsi"/>
                <w:bCs/>
                <w:sz w:val="18"/>
                <w:szCs w:val="18"/>
                <w:vertAlign w:val="superscript"/>
              </w:rPr>
              <w:t>st</w:t>
            </w:r>
            <w:r w:rsidRPr="0043094B">
              <w:rPr>
                <w:rFonts w:asciiTheme="minorHAnsi" w:hAnsiTheme="minorHAnsi" w:cstheme="minorHAnsi"/>
                <w:bCs/>
                <w:sz w:val="18"/>
                <w:szCs w:val="18"/>
              </w:rPr>
              <w:t xml:space="preserve"> National Environment Symposium was made possible with several agencies updating their data quality and reportability.  In addition, the completed report, helps all of them to further improve their performance in generating, accessing and using because an agreed national baseline has been established and made publicly available via hard copies and in electronic format.</w:t>
            </w:r>
          </w:p>
          <w:p w14:paraId="25A214CF" w14:textId="7388CAFF" w:rsidR="004B72B8" w:rsidRPr="0043094B" w:rsidRDefault="00807190" w:rsidP="00E84890">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Presently, I cannot directly link this project’s efforts to policy and legislation development –</w:t>
            </w:r>
          </w:p>
          <w:p w14:paraId="0D851C36" w14:textId="004DF29A" w:rsidR="004B72B8" w:rsidRPr="0043094B" w:rsidRDefault="004B72B8" w:rsidP="00E84890">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Recommendations for policy and legislation have been shared at the </w:t>
            </w:r>
            <w:r w:rsidR="00807190" w:rsidRPr="0043094B">
              <w:rPr>
                <w:rFonts w:asciiTheme="minorHAnsi" w:hAnsiTheme="minorHAnsi" w:cstheme="minorHAnsi"/>
                <w:bCs/>
                <w:sz w:val="18"/>
                <w:szCs w:val="18"/>
              </w:rPr>
              <w:t xml:space="preserve">Env. Symposium and </w:t>
            </w:r>
            <w:r w:rsidRPr="0043094B">
              <w:rPr>
                <w:rFonts w:asciiTheme="minorHAnsi" w:hAnsiTheme="minorHAnsi" w:cstheme="minorHAnsi"/>
                <w:bCs/>
                <w:sz w:val="18"/>
                <w:szCs w:val="18"/>
              </w:rPr>
              <w:t xml:space="preserve">also captured in the </w:t>
            </w:r>
            <w:r w:rsidR="00807190" w:rsidRPr="0043094B">
              <w:rPr>
                <w:rFonts w:asciiTheme="minorHAnsi" w:hAnsiTheme="minorHAnsi" w:cstheme="minorHAnsi"/>
                <w:bCs/>
                <w:sz w:val="18"/>
                <w:szCs w:val="18"/>
              </w:rPr>
              <w:t>SOE</w:t>
            </w:r>
            <w:r w:rsidRPr="0043094B">
              <w:rPr>
                <w:rFonts w:asciiTheme="minorHAnsi" w:hAnsiTheme="minorHAnsi" w:cstheme="minorHAnsi"/>
                <w:bCs/>
                <w:sz w:val="18"/>
                <w:szCs w:val="18"/>
              </w:rPr>
              <w:t xml:space="preserve">.  While they have been made available, however, at present we cannot claim direct link between this project’s outputs to policy and legislation development yet.  </w:t>
            </w:r>
          </w:p>
          <w:p w14:paraId="7CD140BA" w14:textId="6873BEBA" w:rsidR="00A5585F" w:rsidRPr="0043094B" w:rsidRDefault="004B72B8" w:rsidP="00E84890">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M &amp; E of ongoing efforts will be taking place next year when we are preparing for the next Env Symposium and initiate the second SOE report.  Presently, we don’t have a basis for M&amp;E of ongoing efforts.</w:t>
            </w:r>
          </w:p>
          <w:p w14:paraId="64477525" w14:textId="20FE7339" w:rsidR="00E84890" w:rsidRPr="0043094B" w:rsidRDefault="00E84890" w:rsidP="00E84890">
            <w:pPr>
              <w:pStyle w:val="ListParagraph"/>
              <w:ind w:left="77"/>
              <w:contextualSpacing/>
              <w:rPr>
                <w:rFonts w:asciiTheme="minorHAnsi" w:hAnsiTheme="minorHAnsi" w:cstheme="minorHAnsi"/>
                <w:bCs/>
                <w:sz w:val="18"/>
                <w:szCs w:val="18"/>
              </w:rPr>
            </w:pPr>
          </w:p>
        </w:tc>
      </w:tr>
      <w:tr w:rsidR="00F03DD5" w:rsidRPr="00891152" w14:paraId="231E915A" w14:textId="77777777" w:rsidTr="00095CFB">
        <w:tc>
          <w:tcPr>
            <w:tcW w:w="12752" w:type="dxa"/>
            <w:gridSpan w:val="5"/>
            <w:tcBorders>
              <w:bottom w:val="single" w:sz="4" w:space="0" w:color="auto"/>
            </w:tcBorders>
            <w:shd w:val="clear" w:color="auto" w:fill="auto"/>
          </w:tcPr>
          <w:p w14:paraId="7856DBFD" w14:textId="661E1464" w:rsidR="00F03DD5" w:rsidRPr="0043094B" w:rsidRDefault="00695CA5" w:rsidP="001538E0">
            <w:pPr>
              <w:pStyle w:val="ListParagraph"/>
              <w:ind w:left="77"/>
              <w:contextualSpacing/>
              <w:jc w:val="center"/>
              <w:rPr>
                <w:rFonts w:asciiTheme="minorHAnsi" w:hAnsiTheme="minorHAnsi" w:cstheme="minorHAnsi"/>
                <w:b/>
                <w:bCs/>
                <w:sz w:val="18"/>
                <w:szCs w:val="18"/>
              </w:rPr>
            </w:pPr>
            <w:r w:rsidRPr="0043094B">
              <w:rPr>
                <w:rFonts w:asciiTheme="minorHAnsi" w:hAnsiTheme="minorHAnsi" w:cstheme="minorHAnsi"/>
                <w:b/>
                <w:bCs/>
                <w:sz w:val="18"/>
                <w:szCs w:val="18"/>
              </w:rPr>
              <w:lastRenderedPageBreak/>
              <w:t>2018 Progress</w:t>
            </w:r>
          </w:p>
          <w:p w14:paraId="5862ECAA" w14:textId="77777777" w:rsidR="00695CA5" w:rsidRPr="0043094B" w:rsidRDefault="001538E0" w:rsidP="001538E0">
            <w:pPr>
              <w:pStyle w:val="ListParagraph"/>
              <w:numPr>
                <w:ilvl w:val="0"/>
                <w:numId w:val="28"/>
              </w:numPr>
              <w:contextualSpacing/>
              <w:rPr>
                <w:rFonts w:asciiTheme="minorHAnsi" w:hAnsiTheme="minorHAnsi" w:cstheme="minorHAnsi"/>
                <w:bCs/>
                <w:sz w:val="18"/>
                <w:szCs w:val="18"/>
              </w:rPr>
            </w:pPr>
            <w:r w:rsidRPr="0043094B">
              <w:rPr>
                <w:rFonts w:asciiTheme="minorHAnsi" w:hAnsiTheme="minorHAnsi" w:cstheme="minorHAnsi"/>
                <w:bCs/>
                <w:sz w:val="18"/>
                <w:szCs w:val="18"/>
              </w:rPr>
              <w:t>Improvements have been made here with the NEPC – with the passing of the bylaws and SOPs, which led to the creation of the NEPC Working Groups, it is now possible to make a direct link between NEPC’s contribution to legislations.</w:t>
            </w:r>
          </w:p>
          <w:p w14:paraId="2E1CD4DB" w14:textId="396AFC6E" w:rsidR="001538E0" w:rsidRPr="0043094B" w:rsidRDefault="001538E0" w:rsidP="001538E0">
            <w:pPr>
              <w:pStyle w:val="ListParagraph"/>
              <w:ind w:left="797"/>
              <w:contextualSpacing/>
              <w:rPr>
                <w:rFonts w:asciiTheme="minorHAnsi" w:hAnsiTheme="minorHAnsi" w:cstheme="minorHAnsi"/>
                <w:bCs/>
                <w:sz w:val="18"/>
                <w:szCs w:val="18"/>
              </w:rPr>
            </w:pPr>
          </w:p>
        </w:tc>
      </w:tr>
      <w:tr w:rsidR="00AC10C3" w:rsidRPr="00891152" w14:paraId="1D8AB457" w14:textId="77777777" w:rsidTr="00095CFB">
        <w:tc>
          <w:tcPr>
            <w:tcW w:w="12752" w:type="dxa"/>
            <w:gridSpan w:val="5"/>
            <w:tcBorders>
              <w:bottom w:val="single" w:sz="4" w:space="0" w:color="auto"/>
            </w:tcBorders>
            <w:shd w:val="clear" w:color="auto" w:fill="auto"/>
          </w:tcPr>
          <w:p w14:paraId="7845819F" w14:textId="44EF2BA3" w:rsidR="00AC10C3" w:rsidRPr="0043094B" w:rsidRDefault="00AC10C3" w:rsidP="001538E0">
            <w:pPr>
              <w:pStyle w:val="ListParagraph"/>
              <w:ind w:left="77"/>
              <w:contextualSpacing/>
              <w:jc w:val="center"/>
              <w:rPr>
                <w:rFonts w:asciiTheme="minorHAnsi" w:hAnsiTheme="minorHAnsi" w:cstheme="minorHAnsi"/>
                <w:b/>
                <w:bCs/>
                <w:sz w:val="18"/>
                <w:szCs w:val="18"/>
              </w:rPr>
            </w:pPr>
            <w:r w:rsidRPr="0043094B">
              <w:rPr>
                <w:rFonts w:asciiTheme="minorHAnsi" w:hAnsiTheme="minorHAnsi" w:cstheme="minorHAnsi"/>
                <w:b/>
                <w:bCs/>
                <w:sz w:val="18"/>
                <w:szCs w:val="18"/>
              </w:rPr>
              <w:t>OUTCOME 1:  Improved management information system for the global environment</w:t>
            </w:r>
          </w:p>
        </w:tc>
      </w:tr>
      <w:tr w:rsidR="00AA6728" w:rsidRPr="00891152" w14:paraId="1C77D44B" w14:textId="77777777" w:rsidTr="000551C4">
        <w:tc>
          <w:tcPr>
            <w:tcW w:w="1075" w:type="dxa"/>
            <w:vMerge w:val="restart"/>
            <w:shd w:val="clear" w:color="auto" w:fill="auto"/>
          </w:tcPr>
          <w:p w14:paraId="2EE9259E" w14:textId="4697FCA3" w:rsidR="00AA6728" w:rsidRPr="0043094B" w:rsidRDefault="00AA6728" w:rsidP="00095CFB">
            <w:pPr>
              <w:pStyle w:val="para"/>
              <w:tabs>
                <w:tab w:val="clear" w:pos="720"/>
                <w:tab w:val="left" w:pos="167"/>
              </w:tabs>
              <w:spacing w:after="0"/>
              <w:ind w:right="-74"/>
              <w:jc w:val="left"/>
              <w:rPr>
                <w:rFonts w:asciiTheme="minorHAnsi" w:hAnsiTheme="minorHAnsi" w:cstheme="minorHAnsi"/>
                <w:bCs/>
                <w:sz w:val="18"/>
                <w:szCs w:val="18"/>
              </w:rPr>
            </w:pPr>
            <w:r w:rsidRPr="0043094B">
              <w:rPr>
                <w:rFonts w:asciiTheme="minorHAnsi" w:hAnsiTheme="minorHAnsi" w:cstheme="minorHAnsi"/>
                <w:b/>
                <w:bCs/>
                <w:sz w:val="18"/>
                <w:szCs w:val="18"/>
              </w:rPr>
              <w:t xml:space="preserve">Output 1.1: </w:t>
            </w:r>
            <w:r w:rsidRPr="0043094B">
              <w:rPr>
                <w:rFonts w:asciiTheme="minorHAnsi" w:hAnsiTheme="minorHAnsi" w:cstheme="minorHAnsi"/>
                <w:bCs/>
                <w:sz w:val="18"/>
                <w:szCs w:val="18"/>
              </w:rPr>
              <w:t>Harmonized collection and measurement methodologies of key data and information.</w:t>
            </w:r>
          </w:p>
          <w:p w14:paraId="4154EE6C" w14:textId="77777777" w:rsidR="00AA6728" w:rsidRPr="0043094B" w:rsidRDefault="00AA6728" w:rsidP="00095CFB">
            <w:pPr>
              <w:pStyle w:val="para"/>
              <w:tabs>
                <w:tab w:val="clear" w:pos="720"/>
                <w:tab w:val="left" w:pos="167"/>
              </w:tabs>
              <w:spacing w:after="0"/>
              <w:ind w:right="-74"/>
              <w:jc w:val="left"/>
              <w:rPr>
                <w:rFonts w:asciiTheme="minorHAnsi" w:hAnsiTheme="minorHAnsi" w:cstheme="minorHAnsi"/>
                <w:sz w:val="18"/>
                <w:szCs w:val="18"/>
              </w:rPr>
            </w:pPr>
          </w:p>
          <w:p w14:paraId="724B7EC5" w14:textId="77777777" w:rsidR="00AA6728" w:rsidRPr="0043094B" w:rsidRDefault="00AA6728" w:rsidP="00095CFB">
            <w:pPr>
              <w:pStyle w:val="para"/>
              <w:tabs>
                <w:tab w:val="clear" w:pos="720"/>
                <w:tab w:val="left" w:pos="167"/>
              </w:tabs>
              <w:spacing w:after="0"/>
              <w:ind w:right="-74"/>
              <w:jc w:val="left"/>
              <w:rPr>
                <w:rFonts w:asciiTheme="minorHAnsi" w:hAnsiTheme="minorHAnsi" w:cstheme="minorHAnsi"/>
                <w:bCs/>
                <w:sz w:val="18"/>
                <w:szCs w:val="18"/>
              </w:rPr>
            </w:pPr>
            <w:r w:rsidRPr="0043094B">
              <w:rPr>
                <w:rFonts w:asciiTheme="minorHAnsi" w:hAnsiTheme="minorHAnsi" w:cstheme="minorHAnsi"/>
                <w:b/>
                <w:bCs/>
                <w:sz w:val="18"/>
                <w:szCs w:val="18"/>
              </w:rPr>
              <w:t xml:space="preserve">Output 1.2: </w:t>
            </w:r>
            <w:r w:rsidRPr="0043094B">
              <w:rPr>
                <w:rFonts w:asciiTheme="minorHAnsi" w:hAnsiTheme="minorHAnsi" w:cstheme="minorHAnsi"/>
                <w:bCs/>
                <w:sz w:val="18"/>
                <w:szCs w:val="18"/>
              </w:rPr>
              <w:t xml:space="preserve">Existing databases and information systems are strengthened and networked </w:t>
            </w:r>
            <w:r w:rsidRPr="0043094B">
              <w:rPr>
                <w:rFonts w:asciiTheme="minorHAnsi" w:hAnsiTheme="minorHAnsi" w:cstheme="minorHAnsi"/>
                <w:bCs/>
                <w:sz w:val="18"/>
                <w:szCs w:val="18"/>
              </w:rPr>
              <w:lastRenderedPageBreak/>
              <w:t>to improve access to environmental data and information.</w:t>
            </w:r>
          </w:p>
          <w:p w14:paraId="554B4E17" w14:textId="77777777" w:rsidR="00AA6728" w:rsidRPr="0043094B" w:rsidRDefault="00AA6728" w:rsidP="00095CFB">
            <w:pPr>
              <w:pStyle w:val="para"/>
              <w:tabs>
                <w:tab w:val="clear" w:pos="720"/>
                <w:tab w:val="left" w:pos="167"/>
              </w:tabs>
              <w:spacing w:after="0"/>
              <w:ind w:right="-74"/>
              <w:jc w:val="left"/>
              <w:rPr>
                <w:rFonts w:asciiTheme="minorHAnsi" w:hAnsiTheme="minorHAnsi" w:cstheme="minorHAnsi"/>
                <w:bCs/>
                <w:sz w:val="18"/>
                <w:szCs w:val="18"/>
              </w:rPr>
            </w:pPr>
          </w:p>
          <w:p w14:paraId="44FFB261" w14:textId="77777777" w:rsidR="00AA6728" w:rsidRPr="0043094B" w:rsidRDefault="00AA6728" w:rsidP="00095CFB">
            <w:pPr>
              <w:pStyle w:val="para"/>
              <w:tabs>
                <w:tab w:val="left" w:pos="167"/>
              </w:tabs>
              <w:ind w:right="-74"/>
              <w:jc w:val="left"/>
              <w:rPr>
                <w:rFonts w:asciiTheme="minorHAnsi" w:hAnsiTheme="minorHAnsi" w:cstheme="minorHAnsi"/>
                <w:b/>
                <w:bCs/>
                <w:sz w:val="18"/>
                <w:szCs w:val="18"/>
              </w:rPr>
            </w:pPr>
            <w:r w:rsidRPr="0043094B">
              <w:rPr>
                <w:rFonts w:asciiTheme="minorHAnsi" w:hAnsiTheme="minorHAnsi" w:cstheme="minorHAnsi"/>
                <w:b/>
                <w:bCs/>
                <w:sz w:val="18"/>
                <w:szCs w:val="18"/>
              </w:rPr>
              <w:t xml:space="preserve">Output 1.3: </w:t>
            </w:r>
            <w:r w:rsidRPr="0043094B">
              <w:rPr>
                <w:rFonts w:asciiTheme="minorHAnsi" w:hAnsiTheme="minorHAnsi" w:cstheme="minorHAnsi"/>
                <w:bCs/>
                <w:sz w:val="18"/>
                <w:szCs w:val="18"/>
              </w:rPr>
              <w:t>Agencies' data management protocols are revised to improve access.</w:t>
            </w:r>
          </w:p>
        </w:tc>
        <w:tc>
          <w:tcPr>
            <w:tcW w:w="1597" w:type="dxa"/>
          </w:tcPr>
          <w:p w14:paraId="206B0DE7"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Adequate national standards, norms, procedures for collecting and storing environmental data are officially in place</w:t>
            </w:r>
          </w:p>
        </w:tc>
        <w:tc>
          <w:tcPr>
            <w:tcW w:w="1440" w:type="dxa"/>
          </w:tcPr>
          <w:p w14:paraId="46012884"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There is limited unified set of standards, norms and procedures to collect data, conduct observations and make sampling</w:t>
            </w:r>
          </w:p>
        </w:tc>
        <w:tc>
          <w:tcPr>
            <w:tcW w:w="1643" w:type="dxa"/>
          </w:tcPr>
          <w:p w14:paraId="357C2260"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lang w:val="en-GB"/>
              </w:rPr>
            </w:pPr>
            <w:r w:rsidRPr="0043094B">
              <w:rPr>
                <w:rFonts w:cstheme="minorHAnsi"/>
                <w:bCs/>
                <w:sz w:val="18"/>
                <w:szCs w:val="18"/>
              </w:rPr>
              <w:t>Adequate official standards, norms and procedures are in place and use by the relevant organizations</w:t>
            </w:r>
          </w:p>
        </w:tc>
        <w:tc>
          <w:tcPr>
            <w:tcW w:w="6997" w:type="dxa"/>
          </w:tcPr>
          <w:p w14:paraId="52D3E023" w14:textId="77777777" w:rsidR="00AA6728" w:rsidRPr="0043094B" w:rsidRDefault="003F22A7" w:rsidP="00AA6728">
            <w:pPr>
              <w:numPr>
                <w:ilvl w:val="0"/>
                <w:numId w:val="5"/>
              </w:numPr>
              <w:tabs>
                <w:tab w:val="clear" w:pos="720"/>
                <w:tab w:val="num" w:pos="129"/>
              </w:tabs>
              <w:spacing w:after="0" w:line="240" w:lineRule="auto"/>
              <w:ind w:left="129" w:hanging="142"/>
              <w:rPr>
                <w:rFonts w:cstheme="minorHAnsi"/>
                <w:sz w:val="18"/>
                <w:szCs w:val="18"/>
                <w:lang w:val="en-GB"/>
              </w:rPr>
            </w:pPr>
            <w:r w:rsidRPr="0043094B">
              <w:rPr>
                <w:rFonts w:cstheme="minorHAnsi"/>
                <w:sz w:val="18"/>
                <w:szCs w:val="18"/>
                <w:lang w:val="en-GB"/>
              </w:rPr>
              <w:t>Preparation for the SOE initiated this effort to harmonize key data and information related to Palau’s environment.</w:t>
            </w:r>
          </w:p>
          <w:p w14:paraId="4ED4AE22" w14:textId="77777777" w:rsidR="003F22A7" w:rsidRPr="0043094B" w:rsidRDefault="003F22A7" w:rsidP="00AA6728">
            <w:pPr>
              <w:numPr>
                <w:ilvl w:val="0"/>
                <w:numId w:val="5"/>
              </w:numPr>
              <w:tabs>
                <w:tab w:val="clear" w:pos="720"/>
                <w:tab w:val="num" w:pos="129"/>
              </w:tabs>
              <w:spacing w:after="0" w:line="240" w:lineRule="auto"/>
              <w:ind w:left="129" w:hanging="142"/>
              <w:rPr>
                <w:rFonts w:cstheme="minorHAnsi"/>
                <w:sz w:val="18"/>
                <w:szCs w:val="18"/>
                <w:lang w:val="en-GB"/>
              </w:rPr>
            </w:pPr>
            <w:r w:rsidRPr="0043094B">
              <w:rPr>
                <w:rFonts w:cstheme="minorHAnsi"/>
                <w:sz w:val="18"/>
                <w:szCs w:val="18"/>
                <w:lang w:val="en-GB"/>
              </w:rPr>
              <w:t>Additionally, Palau has established a National SDG Core Indicators list, composed of selected global SDG indicators, plus Palau’s own indicators, which will be monitored and reported on a regular basis.</w:t>
            </w:r>
          </w:p>
          <w:p w14:paraId="2D606FB9" w14:textId="229AF412" w:rsidR="003F22A7" w:rsidRDefault="00BF2723" w:rsidP="00BF2723">
            <w:pPr>
              <w:numPr>
                <w:ilvl w:val="0"/>
                <w:numId w:val="5"/>
              </w:numPr>
              <w:tabs>
                <w:tab w:val="clear" w:pos="720"/>
                <w:tab w:val="num" w:pos="129"/>
              </w:tabs>
              <w:spacing w:after="0" w:line="240" w:lineRule="auto"/>
              <w:ind w:left="129" w:hanging="142"/>
              <w:rPr>
                <w:rFonts w:cstheme="minorHAnsi"/>
                <w:sz w:val="18"/>
                <w:szCs w:val="18"/>
                <w:lang w:val="en-GB"/>
              </w:rPr>
            </w:pPr>
            <w:r w:rsidRPr="0043094B">
              <w:rPr>
                <w:rFonts w:cstheme="minorHAnsi"/>
                <w:sz w:val="18"/>
                <w:szCs w:val="18"/>
                <w:lang w:val="en-GB"/>
              </w:rPr>
              <w:t>The planned Central Environmental Database (one of this project’s outputs) will incorporate SOE and SDG indicators.</w:t>
            </w:r>
          </w:p>
          <w:p w14:paraId="120EA0A5" w14:textId="21C259DB" w:rsidR="00B80F50" w:rsidRPr="0043094B" w:rsidRDefault="00B80F50" w:rsidP="00B80F50">
            <w:pPr>
              <w:spacing w:after="0" w:line="240" w:lineRule="auto"/>
              <w:ind w:left="129"/>
              <w:rPr>
                <w:rFonts w:cstheme="minorHAnsi"/>
                <w:sz w:val="18"/>
                <w:szCs w:val="18"/>
                <w:lang w:val="en-GB"/>
              </w:rPr>
            </w:pPr>
            <w:r w:rsidRPr="0084003D">
              <w:rPr>
                <w:rFonts w:cstheme="minorHAnsi"/>
                <w:sz w:val="18"/>
                <w:szCs w:val="18"/>
                <w:lang w:val="en-GB"/>
              </w:rPr>
              <w:t xml:space="preserve">  At present, </w:t>
            </w:r>
            <w:r w:rsidR="00095CFB" w:rsidRPr="0084003D">
              <w:rPr>
                <w:rFonts w:cstheme="minorHAnsi"/>
                <w:sz w:val="18"/>
                <w:szCs w:val="18"/>
                <w:lang w:val="en-GB"/>
              </w:rPr>
              <w:t>the project</w:t>
            </w:r>
            <w:r w:rsidRPr="0084003D">
              <w:rPr>
                <w:rFonts w:cstheme="minorHAnsi"/>
                <w:sz w:val="18"/>
                <w:szCs w:val="18"/>
                <w:lang w:val="en-GB"/>
              </w:rPr>
              <w:t xml:space="preserve"> will focus on populating data for the SOE along with relevant/related env. SDG data. </w:t>
            </w:r>
            <w:r w:rsidR="00095CFB" w:rsidRPr="0084003D">
              <w:rPr>
                <w:rFonts w:cstheme="minorHAnsi"/>
                <w:sz w:val="18"/>
                <w:szCs w:val="18"/>
                <w:lang w:val="en-GB"/>
              </w:rPr>
              <w:t xml:space="preserve">The current </w:t>
            </w:r>
            <w:r w:rsidRPr="0084003D">
              <w:rPr>
                <w:rFonts w:cstheme="minorHAnsi"/>
                <w:sz w:val="18"/>
                <w:szCs w:val="18"/>
                <w:lang w:val="en-GB"/>
              </w:rPr>
              <w:t xml:space="preserve">Inform platform will </w:t>
            </w:r>
            <w:r w:rsidR="00095CFB" w:rsidRPr="0084003D">
              <w:rPr>
                <w:rFonts w:cstheme="minorHAnsi"/>
                <w:sz w:val="18"/>
                <w:szCs w:val="18"/>
                <w:lang w:val="en-GB"/>
              </w:rPr>
              <w:t xml:space="preserve">not </w:t>
            </w:r>
            <w:r w:rsidRPr="0084003D">
              <w:rPr>
                <w:rFonts w:cstheme="minorHAnsi"/>
                <w:sz w:val="18"/>
                <w:szCs w:val="18"/>
                <w:lang w:val="en-GB"/>
              </w:rPr>
              <w:t xml:space="preserve">expand to include non-environmental data, as we were planning for the Central DB, since it’s now managed by the Min of Env.  </w:t>
            </w:r>
            <w:r w:rsidR="00095CFB">
              <w:rPr>
                <w:rFonts w:cstheme="minorHAnsi"/>
                <w:sz w:val="18"/>
                <w:szCs w:val="18"/>
                <w:lang w:val="en-GB"/>
              </w:rPr>
              <w:t>New database managed by PALARIS wi</w:t>
            </w:r>
            <w:r w:rsidR="008F2CFB">
              <w:rPr>
                <w:rFonts w:cstheme="minorHAnsi"/>
                <w:sz w:val="18"/>
                <w:szCs w:val="18"/>
                <w:lang w:val="en-GB"/>
              </w:rPr>
              <w:t>ll</w:t>
            </w:r>
            <w:r w:rsidR="00095CFB">
              <w:rPr>
                <w:rFonts w:cstheme="minorHAnsi"/>
                <w:sz w:val="18"/>
                <w:szCs w:val="18"/>
                <w:lang w:val="en-GB"/>
              </w:rPr>
              <w:t xml:space="preserve"> include both environmental and SDG data. </w:t>
            </w:r>
          </w:p>
        </w:tc>
      </w:tr>
      <w:tr w:rsidR="00B8586D" w:rsidRPr="00891152" w14:paraId="3CE9FD21" w14:textId="77777777" w:rsidTr="00095CFB">
        <w:tc>
          <w:tcPr>
            <w:tcW w:w="1075" w:type="dxa"/>
            <w:vMerge/>
            <w:shd w:val="clear" w:color="auto" w:fill="auto"/>
          </w:tcPr>
          <w:p w14:paraId="716E6F2C" w14:textId="77777777" w:rsidR="00B8586D" w:rsidRPr="0043094B" w:rsidRDefault="00B8586D" w:rsidP="00095CFB">
            <w:pPr>
              <w:pStyle w:val="para"/>
              <w:tabs>
                <w:tab w:val="clear" w:pos="720"/>
                <w:tab w:val="left" w:pos="167"/>
              </w:tabs>
              <w:spacing w:after="0"/>
              <w:ind w:right="-74"/>
              <w:jc w:val="left"/>
              <w:rPr>
                <w:rFonts w:asciiTheme="minorHAnsi" w:hAnsiTheme="minorHAnsi" w:cstheme="minorHAnsi"/>
                <w:b/>
                <w:bCs/>
                <w:sz w:val="18"/>
                <w:szCs w:val="18"/>
              </w:rPr>
            </w:pPr>
          </w:p>
        </w:tc>
        <w:tc>
          <w:tcPr>
            <w:tcW w:w="11677" w:type="dxa"/>
            <w:gridSpan w:val="4"/>
          </w:tcPr>
          <w:p w14:paraId="4420E47A" w14:textId="48F56331" w:rsidR="000B5214" w:rsidRPr="0043094B" w:rsidRDefault="000B5214" w:rsidP="00600DF0">
            <w:pPr>
              <w:pStyle w:val="ListParagraph"/>
              <w:ind w:left="797"/>
              <w:rPr>
                <w:rFonts w:asciiTheme="minorHAnsi" w:hAnsiTheme="minorHAnsi" w:cstheme="minorHAnsi"/>
                <w:sz w:val="18"/>
                <w:szCs w:val="18"/>
                <w:lang w:val="en-GB"/>
              </w:rPr>
            </w:pPr>
          </w:p>
        </w:tc>
      </w:tr>
      <w:tr w:rsidR="00AA6728" w:rsidRPr="00891152" w14:paraId="0B579C09" w14:textId="77777777" w:rsidTr="000551C4">
        <w:tc>
          <w:tcPr>
            <w:tcW w:w="1075" w:type="dxa"/>
            <w:vMerge/>
            <w:shd w:val="clear" w:color="auto" w:fill="auto"/>
          </w:tcPr>
          <w:p w14:paraId="3C17F4F3" w14:textId="5029371A" w:rsidR="00AA6728" w:rsidRPr="0043094B" w:rsidRDefault="00AA6728" w:rsidP="00095CFB">
            <w:pPr>
              <w:pStyle w:val="para"/>
              <w:tabs>
                <w:tab w:val="clear" w:pos="720"/>
                <w:tab w:val="left" w:pos="167"/>
              </w:tabs>
              <w:spacing w:after="0"/>
              <w:ind w:right="-74"/>
              <w:jc w:val="left"/>
              <w:rPr>
                <w:rFonts w:asciiTheme="minorHAnsi" w:hAnsiTheme="minorHAnsi" w:cstheme="minorHAnsi"/>
                <w:bCs/>
                <w:sz w:val="18"/>
                <w:szCs w:val="18"/>
              </w:rPr>
            </w:pPr>
          </w:p>
        </w:tc>
        <w:tc>
          <w:tcPr>
            <w:tcW w:w="1597" w:type="dxa"/>
          </w:tcPr>
          <w:p w14:paraId="7E1CDC50"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An environmental data repository architecture in place</w:t>
            </w:r>
          </w:p>
        </w:tc>
        <w:tc>
          <w:tcPr>
            <w:tcW w:w="1440" w:type="dxa"/>
          </w:tcPr>
          <w:p w14:paraId="343CDCE7"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 xml:space="preserve">No data architecture is in place to structure environmental information at </w:t>
            </w:r>
            <w:r w:rsidRPr="0043094B">
              <w:rPr>
                <w:rFonts w:asciiTheme="minorHAnsi" w:hAnsiTheme="minorHAnsi" w:cstheme="minorHAnsi"/>
                <w:bCs/>
                <w:sz w:val="18"/>
                <w:szCs w:val="18"/>
              </w:rPr>
              <w:lastRenderedPageBreak/>
              <w:t>national level in Palau</w:t>
            </w:r>
          </w:p>
        </w:tc>
        <w:tc>
          <w:tcPr>
            <w:tcW w:w="1643" w:type="dxa"/>
          </w:tcPr>
          <w:p w14:paraId="1DF35CDE"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lang w:val="en-GB"/>
              </w:rPr>
              <w:lastRenderedPageBreak/>
              <w:t xml:space="preserve">Environmental data is collected and stored by key organizations in a harmonized and structured </w:t>
            </w:r>
            <w:r w:rsidRPr="0043094B">
              <w:rPr>
                <w:rFonts w:cstheme="minorHAnsi"/>
                <w:sz w:val="18"/>
                <w:szCs w:val="18"/>
                <w:lang w:val="en-GB"/>
              </w:rPr>
              <w:lastRenderedPageBreak/>
              <w:t>way and easily accessible</w:t>
            </w:r>
          </w:p>
        </w:tc>
        <w:tc>
          <w:tcPr>
            <w:tcW w:w="6997" w:type="dxa"/>
          </w:tcPr>
          <w:p w14:paraId="221B6EE5" w14:textId="77777777" w:rsidR="00AA6728" w:rsidRPr="0043094B" w:rsidRDefault="00BF2723"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rPr>
              <w:lastRenderedPageBreak/>
              <w:t>The Central Environmental Database is anticipated to be developed towards the end of this year.  A consultant has been identified to help us with its design.</w:t>
            </w:r>
          </w:p>
          <w:p w14:paraId="13BF93B0" w14:textId="46937E94" w:rsidR="00BF2723" w:rsidRPr="0043094B" w:rsidRDefault="00BF2723"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rPr>
              <w:t>PALARIS has agreed to take on the management responsibilities of this Database.</w:t>
            </w:r>
          </w:p>
          <w:p w14:paraId="20D37EE9" w14:textId="71E7EBA9" w:rsidR="00BF2723" w:rsidRDefault="00AD6464" w:rsidP="00BF2723">
            <w:pPr>
              <w:spacing w:after="0" w:line="240" w:lineRule="auto"/>
              <w:ind w:left="129"/>
              <w:rPr>
                <w:rFonts w:cstheme="minorHAnsi"/>
                <w:sz w:val="18"/>
                <w:szCs w:val="18"/>
              </w:rPr>
            </w:pPr>
            <w:r w:rsidRPr="0084003D">
              <w:rPr>
                <w:rFonts w:cstheme="minorHAnsi"/>
                <w:sz w:val="18"/>
                <w:szCs w:val="18"/>
              </w:rPr>
              <w:t>Dec 5:  The envisioned CED was to initially start with env data and specifically designed around supporting development of env-related reports to national and international commitment (e.g., Rio Conventions and SOE).  Then we</w:t>
            </w:r>
            <w:r w:rsidR="00293371">
              <w:rPr>
                <w:rFonts w:cstheme="minorHAnsi"/>
                <w:sz w:val="18"/>
                <w:szCs w:val="18"/>
              </w:rPr>
              <w:t xml:space="preserve"> will </w:t>
            </w:r>
            <w:r w:rsidRPr="0084003D">
              <w:rPr>
                <w:rFonts w:cstheme="minorHAnsi"/>
                <w:sz w:val="18"/>
                <w:szCs w:val="18"/>
              </w:rPr>
              <w:t xml:space="preserve">expand it </w:t>
            </w:r>
            <w:r w:rsidR="00293371">
              <w:rPr>
                <w:rFonts w:cstheme="minorHAnsi"/>
                <w:sz w:val="18"/>
                <w:szCs w:val="18"/>
              </w:rPr>
              <w:t xml:space="preserve">and </w:t>
            </w:r>
            <w:r w:rsidRPr="0084003D">
              <w:rPr>
                <w:rFonts w:cstheme="minorHAnsi"/>
                <w:sz w:val="18"/>
                <w:szCs w:val="18"/>
              </w:rPr>
              <w:t>include the SDGs</w:t>
            </w:r>
            <w:r w:rsidR="00293371">
              <w:rPr>
                <w:rFonts w:cstheme="minorHAnsi"/>
                <w:sz w:val="18"/>
                <w:szCs w:val="18"/>
              </w:rPr>
              <w:t xml:space="preserve"> as well</w:t>
            </w:r>
            <w:r w:rsidRPr="0084003D">
              <w:rPr>
                <w:rFonts w:cstheme="minorHAnsi"/>
                <w:sz w:val="18"/>
                <w:szCs w:val="18"/>
              </w:rPr>
              <w:t xml:space="preserve">.  The limitation with </w:t>
            </w:r>
            <w:r w:rsidR="00095CFB" w:rsidRPr="0084003D">
              <w:rPr>
                <w:rFonts w:cstheme="minorHAnsi"/>
                <w:sz w:val="18"/>
                <w:szCs w:val="18"/>
              </w:rPr>
              <w:t>database of ‘</w:t>
            </w:r>
            <w:r w:rsidR="00293371">
              <w:rPr>
                <w:rFonts w:cstheme="minorHAnsi"/>
                <w:sz w:val="18"/>
                <w:szCs w:val="18"/>
              </w:rPr>
              <w:t>I</w:t>
            </w:r>
            <w:r w:rsidRPr="0084003D">
              <w:rPr>
                <w:rFonts w:cstheme="minorHAnsi"/>
                <w:sz w:val="18"/>
                <w:szCs w:val="18"/>
              </w:rPr>
              <w:t>nform</w:t>
            </w:r>
            <w:r w:rsidR="00095CFB" w:rsidRPr="0084003D">
              <w:rPr>
                <w:rFonts w:cstheme="minorHAnsi"/>
                <w:sz w:val="18"/>
                <w:szCs w:val="18"/>
              </w:rPr>
              <w:t xml:space="preserve"> Project’</w:t>
            </w:r>
            <w:r w:rsidRPr="0084003D">
              <w:rPr>
                <w:rFonts w:cstheme="minorHAnsi"/>
                <w:sz w:val="18"/>
                <w:szCs w:val="18"/>
              </w:rPr>
              <w:t xml:space="preserve"> is that it will only end with </w:t>
            </w:r>
            <w:r w:rsidRPr="0084003D">
              <w:rPr>
                <w:rFonts w:cstheme="minorHAnsi"/>
                <w:sz w:val="18"/>
                <w:szCs w:val="18"/>
              </w:rPr>
              <w:lastRenderedPageBreak/>
              <w:t xml:space="preserve">environmental data -  we will have to import data from it to a new database </w:t>
            </w:r>
            <w:r w:rsidR="00095CFB" w:rsidRPr="0084003D">
              <w:rPr>
                <w:rFonts w:cstheme="minorHAnsi"/>
                <w:sz w:val="18"/>
                <w:szCs w:val="18"/>
              </w:rPr>
              <w:t xml:space="preserve">(CED) </w:t>
            </w:r>
            <w:r w:rsidRPr="0084003D">
              <w:rPr>
                <w:rFonts w:cstheme="minorHAnsi"/>
                <w:sz w:val="18"/>
                <w:szCs w:val="18"/>
              </w:rPr>
              <w:t>that will be managed by PALARIS (not Min of Env</w:t>
            </w:r>
            <w:r w:rsidR="00293371">
              <w:rPr>
                <w:rFonts w:cstheme="minorHAnsi"/>
                <w:sz w:val="18"/>
                <w:szCs w:val="18"/>
              </w:rPr>
              <w:t xml:space="preserve"> as at the moment</w:t>
            </w:r>
            <w:r w:rsidRPr="0084003D">
              <w:rPr>
                <w:rFonts w:cstheme="minorHAnsi"/>
                <w:sz w:val="18"/>
                <w:szCs w:val="18"/>
              </w:rPr>
              <w:t>) and thus will include SDGs and all other national priorities that we can and want to report on.</w:t>
            </w:r>
            <w:r w:rsidR="008D18BC">
              <w:rPr>
                <w:rFonts w:cstheme="minorHAnsi"/>
                <w:sz w:val="18"/>
                <w:szCs w:val="18"/>
              </w:rPr>
              <w:t xml:space="preserve"> The timeframe for finalizing and populating of a new Database (managed by PALARIS) is planned for June 2019.</w:t>
            </w:r>
          </w:p>
          <w:p w14:paraId="3356EBBC" w14:textId="5F3F7760" w:rsidR="00AD6464" w:rsidRPr="0043094B" w:rsidRDefault="00AD6464" w:rsidP="00BF2723">
            <w:pPr>
              <w:spacing w:after="0" w:line="240" w:lineRule="auto"/>
              <w:ind w:left="129"/>
              <w:rPr>
                <w:rFonts w:cstheme="minorHAnsi"/>
                <w:sz w:val="18"/>
                <w:szCs w:val="18"/>
              </w:rPr>
            </w:pPr>
          </w:p>
        </w:tc>
      </w:tr>
      <w:tr w:rsidR="00AA6728" w:rsidRPr="00891152" w14:paraId="274A48F2" w14:textId="77777777" w:rsidTr="000551C4">
        <w:tc>
          <w:tcPr>
            <w:tcW w:w="1075" w:type="dxa"/>
            <w:vMerge/>
            <w:shd w:val="clear" w:color="auto" w:fill="auto"/>
          </w:tcPr>
          <w:p w14:paraId="3B09BEAA" w14:textId="6CB86CBC" w:rsidR="00AA6728" w:rsidRPr="0043094B" w:rsidRDefault="00AA6728" w:rsidP="00095CFB">
            <w:pPr>
              <w:rPr>
                <w:rFonts w:cstheme="minorHAnsi"/>
                <w:b/>
                <w:bCs/>
                <w:sz w:val="18"/>
                <w:szCs w:val="18"/>
              </w:rPr>
            </w:pPr>
          </w:p>
        </w:tc>
        <w:tc>
          <w:tcPr>
            <w:tcW w:w="1597" w:type="dxa"/>
          </w:tcPr>
          <w:p w14:paraId="7FE45ED7"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Information technologies in place to collect, store and share giving access to up-to-date environmental information</w:t>
            </w:r>
          </w:p>
        </w:tc>
        <w:tc>
          <w:tcPr>
            <w:tcW w:w="1440" w:type="dxa"/>
          </w:tcPr>
          <w:p w14:paraId="77174B33"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lang w:val="en-GB"/>
              </w:rPr>
              <w:t xml:space="preserve">Limited technology is in place to support data management for an effective sharing of environmental information </w:t>
            </w:r>
          </w:p>
        </w:tc>
        <w:tc>
          <w:tcPr>
            <w:tcW w:w="1643" w:type="dxa"/>
          </w:tcPr>
          <w:p w14:paraId="53ACCF59"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lang w:val="en-GB"/>
              </w:rPr>
              <w:t>Hardware, communication and networking equipment is in place to collect and store environmental data and provide easy access to this environmental information</w:t>
            </w:r>
          </w:p>
        </w:tc>
        <w:tc>
          <w:tcPr>
            <w:tcW w:w="6997" w:type="dxa"/>
          </w:tcPr>
          <w:p w14:paraId="644D173E" w14:textId="15CA81A0" w:rsidR="001A79E8" w:rsidRPr="0043094B" w:rsidRDefault="001A79E8" w:rsidP="00095CFB">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rPr>
              <w:t>All requested equipment and hardware from the Top Tier agencies have been secured.  Additional equipment still needed are mostly for the Central Environment Database.</w:t>
            </w:r>
          </w:p>
          <w:p w14:paraId="52077389" w14:textId="7B5088CF" w:rsidR="001A79E8" w:rsidRPr="0043094B" w:rsidRDefault="001A79E8" w:rsidP="001A79E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rPr>
              <w:t xml:space="preserve">Website for the Central Env Database is planned to be established by </w:t>
            </w:r>
            <w:r w:rsidR="00BF0ED0">
              <w:rPr>
                <w:rFonts w:cstheme="minorHAnsi"/>
                <w:sz w:val="18"/>
                <w:szCs w:val="18"/>
              </w:rPr>
              <w:t>June</w:t>
            </w:r>
            <w:r w:rsidRPr="0043094B">
              <w:rPr>
                <w:rFonts w:cstheme="minorHAnsi"/>
                <w:sz w:val="18"/>
                <w:szCs w:val="18"/>
              </w:rPr>
              <w:t xml:space="preserve"> next year.</w:t>
            </w:r>
          </w:p>
          <w:p w14:paraId="6EC9F8FD" w14:textId="16C775FF" w:rsidR="001A79E8" w:rsidRPr="0043094B" w:rsidRDefault="00BF0ED0" w:rsidP="001A79E8">
            <w:pPr>
              <w:spacing w:after="0" w:line="240" w:lineRule="auto"/>
              <w:ind w:left="129"/>
              <w:rPr>
                <w:rFonts w:cstheme="minorHAnsi"/>
                <w:sz w:val="18"/>
                <w:szCs w:val="18"/>
              </w:rPr>
            </w:pPr>
            <w:r>
              <w:rPr>
                <w:rFonts w:cstheme="minorHAnsi"/>
                <w:sz w:val="18"/>
                <w:szCs w:val="18"/>
              </w:rPr>
              <w:t xml:space="preserve">The </w:t>
            </w:r>
            <w:r w:rsidRPr="00BF0ED0">
              <w:rPr>
                <w:rFonts w:cstheme="minorHAnsi"/>
                <w:sz w:val="18"/>
                <w:szCs w:val="18"/>
              </w:rPr>
              <w:t xml:space="preserve">2nd SOE </w:t>
            </w:r>
            <w:r>
              <w:rPr>
                <w:rFonts w:cstheme="minorHAnsi"/>
                <w:sz w:val="18"/>
                <w:szCs w:val="18"/>
              </w:rPr>
              <w:t xml:space="preserve">is due to April 2019 and it will be used for populating of </w:t>
            </w:r>
            <w:r w:rsidRPr="00BF0ED0">
              <w:rPr>
                <w:rFonts w:cstheme="minorHAnsi"/>
                <w:sz w:val="18"/>
                <w:szCs w:val="18"/>
              </w:rPr>
              <w:t>the database and, in turn, the website</w:t>
            </w:r>
            <w:r>
              <w:rPr>
                <w:rFonts w:cstheme="minorHAnsi"/>
                <w:sz w:val="18"/>
                <w:szCs w:val="18"/>
              </w:rPr>
              <w:t>.</w:t>
            </w:r>
          </w:p>
        </w:tc>
      </w:tr>
      <w:tr w:rsidR="00AA6728" w:rsidRPr="00891152" w14:paraId="078E94B4" w14:textId="77777777" w:rsidTr="000551C4">
        <w:tc>
          <w:tcPr>
            <w:tcW w:w="1075" w:type="dxa"/>
            <w:vMerge/>
            <w:shd w:val="clear" w:color="auto" w:fill="auto"/>
          </w:tcPr>
          <w:p w14:paraId="67DD3378" w14:textId="02E83D5E" w:rsidR="00AA6728" w:rsidRPr="0043094B" w:rsidRDefault="00AA6728" w:rsidP="00095CFB">
            <w:pPr>
              <w:rPr>
                <w:rFonts w:cstheme="minorHAnsi"/>
                <w:b/>
                <w:bCs/>
                <w:sz w:val="18"/>
                <w:szCs w:val="18"/>
              </w:rPr>
            </w:pPr>
          </w:p>
        </w:tc>
        <w:tc>
          <w:tcPr>
            <w:tcW w:w="1597" w:type="dxa"/>
          </w:tcPr>
          <w:p w14:paraId="2C0C6E58"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Agreements for data sharing in place</w:t>
            </w:r>
          </w:p>
        </w:tc>
        <w:tc>
          <w:tcPr>
            <w:tcW w:w="1440" w:type="dxa"/>
          </w:tcPr>
          <w:p w14:paraId="73F1E116"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lang w:val="en-GB"/>
              </w:rPr>
              <w:t>Information is shared on an ad-hoc basis among institutions mostly on an informal basis</w:t>
            </w:r>
          </w:p>
        </w:tc>
        <w:tc>
          <w:tcPr>
            <w:tcW w:w="1643" w:type="dxa"/>
          </w:tcPr>
          <w:p w14:paraId="2154EEE6" w14:textId="77777777" w:rsidR="00AA6728" w:rsidRPr="0043094B" w:rsidRDefault="00AA672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lang w:val="en-GB"/>
              </w:rPr>
              <w:t>3-4 agreements are in place between key environmental organizations and 3-4 agencies/institutions to formally share data on a regular basis</w:t>
            </w:r>
          </w:p>
        </w:tc>
        <w:tc>
          <w:tcPr>
            <w:tcW w:w="6997" w:type="dxa"/>
          </w:tcPr>
          <w:p w14:paraId="6D257F82" w14:textId="2286F686" w:rsidR="00AA6728" w:rsidRPr="0043094B" w:rsidRDefault="001A79E8" w:rsidP="00AA6728">
            <w:pPr>
              <w:numPr>
                <w:ilvl w:val="0"/>
                <w:numId w:val="5"/>
              </w:numPr>
              <w:tabs>
                <w:tab w:val="clear" w:pos="720"/>
                <w:tab w:val="num" w:pos="129"/>
              </w:tabs>
              <w:spacing w:after="0" w:line="240" w:lineRule="auto"/>
              <w:ind w:left="129" w:hanging="142"/>
              <w:rPr>
                <w:rFonts w:cstheme="minorHAnsi"/>
                <w:sz w:val="18"/>
                <w:szCs w:val="18"/>
              </w:rPr>
            </w:pPr>
            <w:r w:rsidRPr="0043094B">
              <w:rPr>
                <w:rFonts w:cstheme="minorHAnsi"/>
                <w:sz w:val="18"/>
                <w:szCs w:val="18"/>
              </w:rPr>
              <w:t>MOUs with Top 3 agencies are being developed and will be finalized by end of October.</w:t>
            </w:r>
          </w:p>
        </w:tc>
      </w:tr>
      <w:tr w:rsidR="00600DF0" w:rsidRPr="00891152" w14:paraId="7D56586A" w14:textId="77777777" w:rsidTr="00095CFB">
        <w:tc>
          <w:tcPr>
            <w:tcW w:w="1075" w:type="dxa"/>
            <w:shd w:val="clear" w:color="auto" w:fill="auto"/>
          </w:tcPr>
          <w:p w14:paraId="1B3A58A4" w14:textId="77777777" w:rsidR="00600DF0" w:rsidRPr="0043094B" w:rsidRDefault="00600DF0" w:rsidP="00095CFB">
            <w:pPr>
              <w:rPr>
                <w:rFonts w:cstheme="minorHAnsi"/>
                <w:b/>
                <w:bCs/>
                <w:sz w:val="18"/>
                <w:szCs w:val="18"/>
              </w:rPr>
            </w:pPr>
          </w:p>
        </w:tc>
        <w:tc>
          <w:tcPr>
            <w:tcW w:w="11677" w:type="dxa"/>
            <w:gridSpan w:val="4"/>
          </w:tcPr>
          <w:p w14:paraId="491458F4" w14:textId="77777777" w:rsidR="00600DF0" w:rsidRPr="0043094B" w:rsidRDefault="00600DF0" w:rsidP="00600DF0">
            <w:pPr>
              <w:pStyle w:val="ListParagraph"/>
              <w:ind w:left="77"/>
              <w:contextualSpacing/>
              <w:jc w:val="center"/>
              <w:rPr>
                <w:rFonts w:asciiTheme="minorHAnsi" w:hAnsiTheme="minorHAnsi" w:cstheme="minorHAnsi"/>
                <w:b/>
                <w:bCs/>
                <w:sz w:val="18"/>
                <w:szCs w:val="18"/>
              </w:rPr>
            </w:pPr>
            <w:r w:rsidRPr="0043094B">
              <w:rPr>
                <w:rFonts w:asciiTheme="minorHAnsi" w:hAnsiTheme="minorHAnsi" w:cstheme="minorHAnsi"/>
                <w:b/>
                <w:bCs/>
                <w:sz w:val="18"/>
                <w:szCs w:val="18"/>
              </w:rPr>
              <w:t>2018 Progress</w:t>
            </w:r>
          </w:p>
          <w:p w14:paraId="2CA5743D" w14:textId="77777777" w:rsidR="00600DF0" w:rsidRPr="0043094B" w:rsidRDefault="00600DF0" w:rsidP="001B02D6">
            <w:pPr>
              <w:pStyle w:val="ListParagraph"/>
              <w:numPr>
                <w:ilvl w:val="0"/>
                <w:numId w:val="28"/>
              </w:numPr>
              <w:ind w:left="252" w:hanging="180"/>
              <w:rPr>
                <w:rFonts w:asciiTheme="minorHAnsi" w:hAnsiTheme="minorHAnsi" w:cstheme="minorHAnsi"/>
                <w:sz w:val="18"/>
                <w:szCs w:val="18"/>
                <w:lang w:val="en-GB"/>
              </w:rPr>
            </w:pPr>
            <w:r w:rsidRPr="0043094B">
              <w:rPr>
                <w:rFonts w:asciiTheme="minorHAnsi" w:hAnsiTheme="minorHAnsi" w:cstheme="minorHAnsi"/>
                <w:sz w:val="18"/>
                <w:szCs w:val="18"/>
                <w:lang w:val="en-GB"/>
              </w:rPr>
              <w:t>MOUs that were anticipated to be developed in conjunction with the Central Database (DB) development have not been drafted, as they were pending the completion of the Central Database.  However, with Inform Project taking over Central DB role, we will now proceed to draft these as we will now be requesting data from relevant agencies to populate this online database.</w:t>
            </w:r>
          </w:p>
          <w:p w14:paraId="3236DA02" w14:textId="77777777" w:rsidR="00600DF0" w:rsidRPr="0043094B" w:rsidRDefault="00600DF0" w:rsidP="00600DF0">
            <w:pPr>
              <w:spacing w:after="0" w:line="240" w:lineRule="auto"/>
              <w:ind w:left="-13"/>
              <w:rPr>
                <w:rFonts w:cstheme="minorHAnsi"/>
                <w:sz w:val="18"/>
                <w:szCs w:val="18"/>
              </w:rPr>
            </w:pPr>
          </w:p>
        </w:tc>
      </w:tr>
      <w:tr w:rsidR="00E76C49" w:rsidRPr="00891152" w14:paraId="0550CA36" w14:textId="77777777" w:rsidTr="00095CFB">
        <w:tc>
          <w:tcPr>
            <w:tcW w:w="12752" w:type="dxa"/>
            <w:gridSpan w:val="5"/>
            <w:shd w:val="clear" w:color="auto" w:fill="auto"/>
          </w:tcPr>
          <w:p w14:paraId="06AF11F6" w14:textId="2F068810" w:rsidR="00E76C49" w:rsidRPr="0043094B" w:rsidRDefault="00E76C49" w:rsidP="00600DF0">
            <w:pPr>
              <w:pStyle w:val="ListParagraph"/>
              <w:ind w:left="77"/>
              <w:contextualSpacing/>
              <w:jc w:val="center"/>
              <w:rPr>
                <w:rFonts w:asciiTheme="minorHAnsi" w:hAnsiTheme="minorHAnsi" w:cstheme="minorHAnsi"/>
                <w:b/>
                <w:bCs/>
                <w:sz w:val="18"/>
                <w:szCs w:val="18"/>
              </w:rPr>
            </w:pPr>
            <w:r w:rsidRPr="0043094B">
              <w:rPr>
                <w:rFonts w:asciiTheme="minorHAnsi" w:hAnsiTheme="minorHAnsi" w:cstheme="minorHAnsi"/>
                <w:b/>
                <w:bCs/>
                <w:sz w:val="18"/>
                <w:szCs w:val="18"/>
              </w:rPr>
              <w:t>OUTCOME 2:  Strengthened technical capacities for monitoring and evaluation of the global environment</w:t>
            </w:r>
          </w:p>
        </w:tc>
      </w:tr>
      <w:tr w:rsidR="00AA6728" w:rsidRPr="00891152" w14:paraId="342D8550" w14:textId="77777777" w:rsidTr="000551C4">
        <w:tc>
          <w:tcPr>
            <w:tcW w:w="1075" w:type="dxa"/>
            <w:vMerge w:val="restart"/>
            <w:shd w:val="clear" w:color="auto" w:fill="auto"/>
          </w:tcPr>
          <w:p w14:paraId="2F9C3D58" w14:textId="77777777" w:rsidR="00AA6728" w:rsidRPr="0043094B" w:rsidRDefault="00AA6728" w:rsidP="00095CFB">
            <w:pPr>
              <w:rPr>
                <w:rFonts w:cstheme="minorHAnsi"/>
                <w:bCs/>
                <w:sz w:val="18"/>
                <w:szCs w:val="18"/>
              </w:rPr>
            </w:pPr>
            <w:r w:rsidRPr="0043094B">
              <w:rPr>
                <w:rFonts w:cstheme="minorHAnsi"/>
                <w:b/>
                <w:bCs/>
                <w:sz w:val="18"/>
                <w:szCs w:val="18"/>
              </w:rPr>
              <w:t xml:space="preserve">Output 2.1: </w:t>
            </w:r>
            <w:r w:rsidRPr="0043094B">
              <w:rPr>
                <w:rFonts w:cstheme="minorHAnsi"/>
                <w:bCs/>
                <w:sz w:val="18"/>
                <w:szCs w:val="18"/>
              </w:rPr>
              <w:t xml:space="preserve">Training on new and improved data and information collection </w:t>
            </w:r>
            <w:r w:rsidRPr="0043094B">
              <w:rPr>
                <w:rFonts w:cstheme="minorHAnsi"/>
                <w:bCs/>
                <w:sz w:val="18"/>
                <w:szCs w:val="18"/>
              </w:rPr>
              <w:lastRenderedPageBreak/>
              <w:t>and measurement methodologies.</w:t>
            </w:r>
          </w:p>
          <w:p w14:paraId="17EA2C38" w14:textId="77777777" w:rsidR="00AA6728" w:rsidRPr="0043094B" w:rsidRDefault="00AA6728" w:rsidP="00095CFB">
            <w:pPr>
              <w:rPr>
                <w:rFonts w:cstheme="minorHAnsi"/>
                <w:bCs/>
                <w:sz w:val="18"/>
                <w:szCs w:val="18"/>
              </w:rPr>
            </w:pPr>
          </w:p>
          <w:p w14:paraId="0DAF0C41" w14:textId="77777777" w:rsidR="00AA6728" w:rsidRPr="0043094B" w:rsidRDefault="00AA6728" w:rsidP="00095CFB">
            <w:pPr>
              <w:rPr>
                <w:rFonts w:cstheme="minorHAnsi"/>
                <w:noProof/>
                <w:sz w:val="18"/>
                <w:szCs w:val="18"/>
              </w:rPr>
            </w:pPr>
            <w:r w:rsidRPr="0043094B">
              <w:rPr>
                <w:rFonts w:cstheme="minorHAnsi"/>
                <w:b/>
                <w:bCs/>
                <w:sz w:val="18"/>
                <w:szCs w:val="18"/>
              </w:rPr>
              <w:t xml:space="preserve">Output 2.2: </w:t>
            </w:r>
            <w:r w:rsidRPr="0043094B">
              <w:rPr>
                <w:rFonts w:cstheme="minorHAnsi"/>
                <w:bCs/>
                <w:sz w:val="18"/>
                <w:szCs w:val="18"/>
              </w:rPr>
              <w:t>Training on analytical skills to analyze/measure environmental trends.</w:t>
            </w:r>
          </w:p>
        </w:tc>
        <w:tc>
          <w:tcPr>
            <w:tcW w:w="1597" w:type="dxa"/>
          </w:tcPr>
          <w:p w14:paraId="0F75DE07"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 xml:space="preserve">An in-service training programme for public servants include course(s) covering </w:t>
            </w:r>
            <w:r w:rsidRPr="0043094B">
              <w:rPr>
                <w:rFonts w:asciiTheme="minorHAnsi" w:hAnsiTheme="minorHAnsi" w:cstheme="minorHAnsi"/>
                <w:bCs/>
                <w:sz w:val="18"/>
                <w:szCs w:val="18"/>
              </w:rPr>
              <w:lastRenderedPageBreak/>
              <w:t>environmental information management</w:t>
            </w:r>
          </w:p>
        </w:tc>
        <w:tc>
          <w:tcPr>
            <w:tcW w:w="1440" w:type="dxa"/>
          </w:tcPr>
          <w:p w14:paraId="37D35FCD" w14:textId="77777777" w:rsidR="00AA6728" w:rsidRPr="0043094B"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bCs/>
                <w:sz w:val="18"/>
                <w:szCs w:val="18"/>
              </w:rPr>
              <w:lastRenderedPageBreak/>
              <w:t xml:space="preserve">There is no training programme for public administrators on environmental </w:t>
            </w:r>
            <w:r w:rsidRPr="0043094B">
              <w:rPr>
                <w:rFonts w:asciiTheme="minorHAnsi" w:hAnsiTheme="minorHAnsi" w:cstheme="minorHAnsi"/>
                <w:bCs/>
                <w:sz w:val="18"/>
                <w:szCs w:val="18"/>
              </w:rPr>
              <w:lastRenderedPageBreak/>
              <w:t>information management</w:t>
            </w:r>
          </w:p>
        </w:tc>
        <w:tc>
          <w:tcPr>
            <w:tcW w:w="1643" w:type="dxa"/>
          </w:tcPr>
          <w:p w14:paraId="430F0A39" w14:textId="77777777" w:rsidR="00AA6728" w:rsidRPr="0084003D"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84003D">
              <w:rPr>
                <w:rFonts w:asciiTheme="minorHAnsi" w:hAnsiTheme="minorHAnsi" w:cstheme="minorHAnsi"/>
                <w:bCs/>
                <w:sz w:val="18"/>
                <w:szCs w:val="18"/>
              </w:rPr>
              <w:lastRenderedPageBreak/>
              <w:t>Course(s) on environmental information management is institutionalized as in-service training for public administrators</w:t>
            </w:r>
          </w:p>
        </w:tc>
        <w:tc>
          <w:tcPr>
            <w:tcW w:w="6997" w:type="dxa"/>
          </w:tcPr>
          <w:p w14:paraId="0E0E4794" w14:textId="52F6C086" w:rsidR="00C9610E" w:rsidRPr="0084003D" w:rsidRDefault="005C63B3" w:rsidP="005C63B3">
            <w:pPr>
              <w:tabs>
                <w:tab w:val="left" w:pos="4776"/>
              </w:tabs>
              <w:contextualSpacing/>
              <w:rPr>
                <w:rFonts w:cstheme="minorHAnsi"/>
                <w:sz w:val="18"/>
                <w:szCs w:val="18"/>
                <w:lang w:val="en-GB"/>
              </w:rPr>
            </w:pPr>
            <w:r w:rsidRPr="0084003D">
              <w:rPr>
                <w:rFonts w:cstheme="minorHAnsi"/>
                <w:sz w:val="18"/>
                <w:szCs w:val="18"/>
                <w:lang w:val="en-GB"/>
              </w:rPr>
              <w:tab/>
            </w:r>
          </w:p>
          <w:p w14:paraId="23101384" w14:textId="13B43B7F" w:rsidR="005C63B3" w:rsidRPr="0084003D" w:rsidRDefault="00C9610E" w:rsidP="00C9610E">
            <w:pPr>
              <w:contextualSpacing/>
              <w:rPr>
                <w:rFonts w:cstheme="minorHAnsi"/>
                <w:sz w:val="18"/>
                <w:szCs w:val="18"/>
                <w:lang w:val="en-GB"/>
              </w:rPr>
            </w:pPr>
            <w:r w:rsidRPr="0084003D">
              <w:rPr>
                <w:rFonts w:cstheme="minorHAnsi"/>
                <w:sz w:val="18"/>
                <w:szCs w:val="18"/>
                <w:lang w:val="en-GB"/>
              </w:rPr>
              <w:t xml:space="preserve">  </w:t>
            </w:r>
            <w:r w:rsidR="005C63B3" w:rsidRPr="0084003D">
              <w:rPr>
                <w:rFonts w:cstheme="minorHAnsi"/>
                <w:sz w:val="18"/>
                <w:szCs w:val="18"/>
                <w:lang w:val="en-GB"/>
              </w:rPr>
              <w:t xml:space="preserve">The training for </w:t>
            </w:r>
            <w:r w:rsidR="00131C0A" w:rsidRPr="0084003D">
              <w:rPr>
                <w:rFonts w:cstheme="minorHAnsi"/>
                <w:sz w:val="18"/>
                <w:szCs w:val="18"/>
                <w:lang w:val="en-GB"/>
              </w:rPr>
              <w:t>‘</w:t>
            </w:r>
            <w:r w:rsidR="005C63B3" w:rsidRPr="0084003D">
              <w:rPr>
                <w:rFonts w:cstheme="minorHAnsi"/>
                <w:sz w:val="18"/>
                <w:szCs w:val="18"/>
                <w:lang w:val="en-GB"/>
              </w:rPr>
              <w:t>Inform</w:t>
            </w:r>
            <w:r w:rsidR="00131C0A" w:rsidRPr="0084003D">
              <w:rPr>
                <w:rFonts w:cstheme="minorHAnsi"/>
                <w:sz w:val="18"/>
                <w:szCs w:val="18"/>
                <w:lang w:val="en-GB"/>
              </w:rPr>
              <w:t xml:space="preserve"> Project’ database</w:t>
            </w:r>
            <w:r w:rsidR="005C63B3" w:rsidRPr="0084003D">
              <w:rPr>
                <w:rFonts w:cstheme="minorHAnsi"/>
                <w:sz w:val="18"/>
                <w:szCs w:val="18"/>
                <w:lang w:val="en-GB"/>
              </w:rPr>
              <w:t xml:space="preserve"> was done at no cost by CB2, since we were not going to be the local managers</w:t>
            </w:r>
          </w:p>
          <w:p w14:paraId="5AF18635" w14:textId="77777777" w:rsidR="005C63B3" w:rsidRPr="0084003D" w:rsidRDefault="005C63B3" w:rsidP="00C9610E">
            <w:pPr>
              <w:contextualSpacing/>
              <w:rPr>
                <w:rFonts w:cstheme="minorHAnsi"/>
                <w:sz w:val="18"/>
                <w:szCs w:val="18"/>
                <w:lang w:val="en-GB"/>
              </w:rPr>
            </w:pPr>
          </w:p>
          <w:p w14:paraId="56F0C827" w14:textId="47847136" w:rsidR="00AA6728" w:rsidRPr="0084003D" w:rsidRDefault="00C9610E" w:rsidP="00C9610E">
            <w:pPr>
              <w:contextualSpacing/>
              <w:rPr>
                <w:rFonts w:cstheme="minorHAnsi"/>
                <w:sz w:val="18"/>
                <w:szCs w:val="18"/>
                <w:lang w:val="en-GB"/>
              </w:rPr>
            </w:pPr>
            <w:r w:rsidRPr="0084003D">
              <w:rPr>
                <w:rFonts w:cstheme="minorHAnsi"/>
                <w:sz w:val="18"/>
                <w:szCs w:val="18"/>
                <w:lang w:val="en-GB"/>
              </w:rPr>
              <w:t>The Top 3 Tier agencies have not identified additional training needs since they received Excel training in the 1</w:t>
            </w:r>
            <w:r w:rsidRPr="0084003D">
              <w:rPr>
                <w:rFonts w:cstheme="minorHAnsi"/>
                <w:sz w:val="18"/>
                <w:szCs w:val="18"/>
                <w:vertAlign w:val="superscript"/>
                <w:lang w:val="en-GB"/>
              </w:rPr>
              <w:t>st</w:t>
            </w:r>
            <w:r w:rsidRPr="0084003D">
              <w:rPr>
                <w:rFonts w:cstheme="minorHAnsi"/>
                <w:sz w:val="18"/>
                <w:szCs w:val="18"/>
                <w:lang w:val="en-GB"/>
              </w:rPr>
              <w:t xml:space="preserve"> year of implementation.  </w:t>
            </w:r>
            <w:r w:rsidR="00131C0A" w:rsidRPr="0084003D">
              <w:rPr>
                <w:rFonts w:cstheme="minorHAnsi"/>
                <w:sz w:val="18"/>
                <w:szCs w:val="18"/>
                <w:lang w:val="en-GB"/>
              </w:rPr>
              <w:t>O</w:t>
            </w:r>
            <w:r w:rsidRPr="0084003D">
              <w:rPr>
                <w:rFonts w:cstheme="minorHAnsi"/>
                <w:sz w:val="18"/>
                <w:szCs w:val="18"/>
                <w:lang w:val="en-GB"/>
              </w:rPr>
              <w:t>ther agencies</w:t>
            </w:r>
            <w:r w:rsidR="00131C0A" w:rsidRPr="0084003D">
              <w:rPr>
                <w:rFonts w:cstheme="minorHAnsi"/>
                <w:sz w:val="18"/>
                <w:szCs w:val="18"/>
                <w:lang w:val="en-GB"/>
              </w:rPr>
              <w:t xml:space="preserve"> received</w:t>
            </w:r>
            <w:r w:rsidRPr="0084003D">
              <w:rPr>
                <w:rFonts w:cstheme="minorHAnsi"/>
                <w:sz w:val="18"/>
                <w:szCs w:val="18"/>
                <w:lang w:val="en-GB"/>
              </w:rPr>
              <w:t xml:space="preserve"> cap</w:t>
            </w:r>
            <w:r w:rsidR="00131C0A" w:rsidRPr="0084003D">
              <w:rPr>
                <w:rFonts w:cstheme="minorHAnsi"/>
                <w:sz w:val="18"/>
                <w:szCs w:val="18"/>
                <w:lang w:val="en-GB"/>
              </w:rPr>
              <w:t>a</w:t>
            </w:r>
            <w:r w:rsidRPr="0084003D">
              <w:rPr>
                <w:rFonts w:cstheme="minorHAnsi"/>
                <w:sz w:val="18"/>
                <w:szCs w:val="18"/>
                <w:lang w:val="en-GB"/>
              </w:rPr>
              <w:t xml:space="preserve">city building support, albeit not in data collection but more </w:t>
            </w:r>
            <w:r w:rsidR="00131C0A" w:rsidRPr="0084003D">
              <w:rPr>
                <w:rFonts w:cstheme="minorHAnsi"/>
                <w:sz w:val="18"/>
                <w:szCs w:val="18"/>
                <w:lang w:val="en-GB"/>
              </w:rPr>
              <w:t xml:space="preserve">focused </w:t>
            </w:r>
            <w:r w:rsidRPr="0084003D">
              <w:rPr>
                <w:rFonts w:cstheme="minorHAnsi"/>
                <w:sz w:val="18"/>
                <w:szCs w:val="18"/>
                <w:lang w:val="en-GB"/>
              </w:rPr>
              <w:t xml:space="preserve">on institutional strengthening (i.e., </w:t>
            </w:r>
            <w:r w:rsidRPr="0084003D">
              <w:rPr>
                <w:rFonts w:cstheme="minorHAnsi"/>
                <w:sz w:val="18"/>
                <w:szCs w:val="18"/>
                <w:lang w:val="en-GB"/>
              </w:rPr>
              <w:lastRenderedPageBreak/>
              <w:t xml:space="preserve">PALARIS, NEPC </w:t>
            </w:r>
            <w:r w:rsidR="00826F42" w:rsidRPr="0084003D">
              <w:rPr>
                <w:rFonts w:cstheme="minorHAnsi"/>
                <w:sz w:val="18"/>
                <w:szCs w:val="18"/>
                <w:lang w:val="en-GB"/>
              </w:rPr>
              <w:t>and  more recently, Bureau of Budget and Planning with the planned staff retreat for early Jan 2019</w:t>
            </w:r>
            <w:r w:rsidRPr="0084003D">
              <w:rPr>
                <w:rFonts w:cstheme="minorHAnsi"/>
                <w:sz w:val="18"/>
                <w:szCs w:val="18"/>
                <w:lang w:val="en-GB"/>
              </w:rPr>
              <w:t>)</w:t>
            </w:r>
            <w:r w:rsidR="00826F42" w:rsidRPr="0084003D">
              <w:rPr>
                <w:rFonts w:cstheme="minorHAnsi"/>
                <w:sz w:val="18"/>
                <w:szCs w:val="18"/>
                <w:lang w:val="en-GB"/>
              </w:rPr>
              <w:t>.  All of these institutional capacity building efforts may not be directly related to data collection, but they are critical to information management and reporting, which is one of the central tasks of all of these agencies.</w:t>
            </w:r>
          </w:p>
        </w:tc>
      </w:tr>
      <w:tr w:rsidR="00AA6728" w:rsidRPr="00891152" w14:paraId="1A94E72F" w14:textId="77777777" w:rsidTr="000551C4">
        <w:trPr>
          <w:trHeight w:val="2096"/>
        </w:trPr>
        <w:tc>
          <w:tcPr>
            <w:tcW w:w="1075" w:type="dxa"/>
            <w:vMerge/>
            <w:shd w:val="clear" w:color="auto" w:fill="auto"/>
          </w:tcPr>
          <w:p w14:paraId="516010AC" w14:textId="77777777" w:rsidR="00AA6728" w:rsidRPr="0043094B" w:rsidRDefault="00AA6728" w:rsidP="00095CFB">
            <w:pPr>
              <w:rPr>
                <w:rFonts w:cstheme="minorHAnsi"/>
                <w:b/>
                <w:bCs/>
                <w:sz w:val="18"/>
                <w:szCs w:val="18"/>
              </w:rPr>
            </w:pPr>
          </w:p>
        </w:tc>
        <w:tc>
          <w:tcPr>
            <w:tcW w:w="1597" w:type="dxa"/>
          </w:tcPr>
          <w:p w14:paraId="6D6C82AE"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Number of Environmental Officers trained by taking the course(s) developed with the support of the project</w:t>
            </w:r>
          </w:p>
        </w:tc>
        <w:tc>
          <w:tcPr>
            <w:tcW w:w="1440" w:type="dxa"/>
          </w:tcPr>
          <w:p w14:paraId="76DE3223" w14:textId="77777777" w:rsidR="00AA6728" w:rsidRPr="0043094B"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bCs/>
                <w:sz w:val="18"/>
                <w:szCs w:val="18"/>
              </w:rPr>
              <w:t>0</w:t>
            </w:r>
          </w:p>
        </w:tc>
        <w:tc>
          <w:tcPr>
            <w:tcW w:w="1643" w:type="dxa"/>
          </w:tcPr>
          <w:p w14:paraId="45365C54" w14:textId="77777777" w:rsidR="00AA6728" w:rsidRPr="0043094B"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bCs/>
                <w:sz w:val="18"/>
                <w:szCs w:val="18"/>
              </w:rPr>
              <w:t>50 Environmental Officers are trained using the new training programme</w:t>
            </w:r>
          </w:p>
        </w:tc>
        <w:tc>
          <w:tcPr>
            <w:tcW w:w="6997" w:type="dxa"/>
          </w:tcPr>
          <w:p w14:paraId="7417A803" w14:textId="11D19241" w:rsidR="00AA6728" w:rsidRPr="0043094B" w:rsidRDefault="002E5BA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sz w:val="18"/>
                <w:szCs w:val="18"/>
                <w:lang w:val="en-GB"/>
              </w:rPr>
              <w:t>Have not yet identified training program</w:t>
            </w:r>
          </w:p>
        </w:tc>
      </w:tr>
      <w:tr w:rsidR="00AA6728" w:rsidRPr="00891152" w14:paraId="05FB7934" w14:textId="77777777" w:rsidTr="000551C4">
        <w:tc>
          <w:tcPr>
            <w:tcW w:w="1075" w:type="dxa"/>
            <w:vMerge/>
            <w:shd w:val="clear" w:color="auto" w:fill="auto"/>
          </w:tcPr>
          <w:p w14:paraId="5D75AD38" w14:textId="77777777" w:rsidR="00AA6728" w:rsidRPr="0043094B" w:rsidRDefault="00AA6728" w:rsidP="00095CFB">
            <w:pPr>
              <w:rPr>
                <w:rFonts w:cstheme="minorHAnsi"/>
                <w:b/>
                <w:bCs/>
                <w:sz w:val="18"/>
                <w:szCs w:val="18"/>
              </w:rPr>
            </w:pPr>
          </w:p>
        </w:tc>
        <w:tc>
          <w:tcPr>
            <w:tcW w:w="1597" w:type="dxa"/>
          </w:tcPr>
          <w:p w14:paraId="06833190"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Use up-to-date environmental information in decision-making and policy-making</w:t>
            </w:r>
          </w:p>
        </w:tc>
        <w:tc>
          <w:tcPr>
            <w:tcW w:w="1440" w:type="dxa"/>
          </w:tcPr>
          <w:p w14:paraId="72110A38"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sz w:val="18"/>
                <w:szCs w:val="18"/>
                <w:lang w:val="en-GB"/>
              </w:rPr>
              <w:t>Limited environmental information is used to develop policies and programmes</w:t>
            </w:r>
          </w:p>
        </w:tc>
        <w:tc>
          <w:tcPr>
            <w:tcW w:w="1643" w:type="dxa"/>
          </w:tcPr>
          <w:p w14:paraId="12C20D4B"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sz w:val="18"/>
                <w:szCs w:val="18"/>
                <w:lang w:val="en-GB"/>
              </w:rPr>
              <w:t>3-4 policies, programmes or plans are developed using up-to-date environmental information</w:t>
            </w:r>
          </w:p>
        </w:tc>
        <w:tc>
          <w:tcPr>
            <w:tcW w:w="6997" w:type="dxa"/>
          </w:tcPr>
          <w:p w14:paraId="2FE48FB2" w14:textId="58BCC2CF" w:rsidR="00AA6728" w:rsidRPr="0043094B" w:rsidRDefault="002E5BA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Food Security proposal to Green Climate Fund - ongoing</w:t>
            </w:r>
          </w:p>
          <w:p w14:paraId="5C8A67F3" w14:textId="26012126" w:rsidR="002E5BA8" w:rsidRPr="0043094B" w:rsidRDefault="002E5BA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Palau Energy Master Plan – ongoing</w:t>
            </w:r>
          </w:p>
          <w:p w14:paraId="55935879" w14:textId="1461705F" w:rsidR="002E5BA8" w:rsidRPr="0043094B" w:rsidRDefault="002E5BA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Decision to lift harvest restriction on two fish species based on their increasing/recovering population</w:t>
            </w:r>
          </w:p>
        </w:tc>
      </w:tr>
      <w:tr w:rsidR="003632FE" w:rsidRPr="00891152" w14:paraId="0D73DE00" w14:textId="77777777" w:rsidTr="00095CFB">
        <w:tc>
          <w:tcPr>
            <w:tcW w:w="12752" w:type="dxa"/>
            <w:gridSpan w:val="5"/>
            <w:shd w:val="clear" w:color="auto" w:fill="auto"/>
          </w:tcPr>
          <w:p w14:paraId="53F1659A" w14:textId="411EBCAD" w:rsidR="003632FE" w:rsidRPr="0043094B" w:rsidRDefault="003632FE" w:rsidP="003632FE">
            <w:pPr>
              <w:pStyle w:val="ListParagraph"/>
              <w:numPr>
                <w:ilvl w:val="0"/>
                <w:numId w:val="28"/>
              </w:numPr>
              <w:contextualSpacing/>
              <w:rPr>
                <w:rFonts w:asciiTheme="minorHAnsi" w:hAnsiTheme="minorHAnsi" w:cstheme="minorHAnsi"/>
                <w:bCs/>
                <w:sz w:val="18"/>
                <w:szCs w:val="18"/>
              </w:rPr>
            </w:pPr>
            <w:r w:rsidRPr="0043094B">
              <w:rPr>
                <w:rFonts w:asciiTheme="minorHAnsi" w:hAnsiTheme="minorHAnsi" w:cstheme="minorHAnsi"/>
                <w:bCs/>
                <w:sz w:val="18"/>
                <w:szCs w:val="18"/>
              </w:rPr>
              <w:t>Presently, the only identified training need is to utilize the Project Inform database.  MNRET (Min of Nat. Resources, Env. And Tourism) will be providing the technical expertise here but CB2 may be hosting the training.  Discussions on our respective role</w:t>
            </w:r>
            <w:r w:rsidR="003132AB" w:rsidRPr="0043094B">
              <w:rPr>
                <w:rFonts w:asciiTheme="minorHAnsi" w:hAnsiTheme="minorHAnsi" w:cstheme="minorHAnsi"/>
                <w:bCs/>
                <w:sz w:val="18"/>
                <w:szCs w:val="18"/>
              </w:rPr>
              <w:t>s still need to be clarified.</w:t>
            </w:r>
          </w:p>
          <w:p w14:paraId="6C68D9AE" w14:textId="49296415" w:rsidR="003632FE" w:rsidRPr="0043094B" w:rsidRDefault="003632FE" w:rsidP="003132AB">
            <w:pPr>
              <w:pStyle w:val="ListParagraph"/>
              <w:ind w:left="797"/>
              <w:contextualSpacing/>
              <w:rPr>
                <w:rFonts w:asciiTheme="minorHAnsi" w:hAnsiTheme="minorHAnsi" w:cstheme="minorHAnsi"/>
                <w:bCs/>
                <w:sz w:val="18"/>
                <w:szCs w:val="18"/>
              </w:rPr>
            </w:pPr>
          </w:p>
        </w:tc>
      </w:tr>
      <w:tr w:rsidR="00E76C49" w:rsidRPr="00891152" w14:paraId="645CAD3C" w14:textId="77777777" w:rsidTr="00095CFB">
        <w:tc>
          <w:tcPr>
            <w:tcW w:w="12752" w:type="dxa"/>
            <w:gridSpan w:val="5"/>
            <w:shd w:val="clear" w:color="auto" w:fill="auto"/>
          </w:tcPr>
          <w:p w14:paraId="67989A19" w14:textId="4442C584" w:rsidR="00E76C49" w:rsidRPr="00606419" w:rsidRDefault="00E76C49" w:rsidP="00606419">
            <w:pPr>
              <w:pStyle w:val="ListParagraph"/>
              <w:ind w:left="797"/>
              <w:contextualSpacing/>
              <w:jc w:val="center"/>
              <w:rPr>
                <w:rFonts w:asciiTheme="minorHAnsi" w:hAnsiTheme="minorHAnsi" w:cstheme="minorHAnsi"/>
                <w:b/>
                <w:bCs/>
                <w:sz w:val="18"/>
                <w:szCs w:val="18"/>
              </w:rPr>
            </w:pPr>
            <w:r w:rsidRPr="0043094B">
              <w:rPr>
                <w:rFonts w:asciiTheme="minorHAnsi" w:hAnsiTheme="minorHAnsi" w:cstheme="minorHAnsi"/>
                <w:bCs/>
                <w:sz w:val="18"/>
                <w:szCs w:val="18"/>
              </w:rPr>
              <w:t>OUTCOME 3:  Improved decision-making mechanisms for the global environment institutionalized</w:t>
            </w:r>
          </w:p>
        </w:tc>
      </w:tr>
      <w:tr w:rsidR="00AA6728" w:rsidRPr="00891152" w14:paraId="26271597" w14:textId="77777777" w:rsidTr="000551C4">
        <w:trPr>
          <w:trHeight w:val="854"/>
        </w:trPr>
        <w:tc>
          <w:tcPr>
            <w:tcW w:w="1075" w:type="dxa"/>
            <w:vMerge w:val="restart"/>
            <w:shd w:val="clear" w:color="auto" w:fill="auto"/>
          </w:tcPr>
          <w:p w14:paraId="1E09D926" w14:textId="44C2AC92" w:rsidR="00AA6728" w:rsidRPr="0043094B" w:rsidRDefault="00AA6728" w:rsidP="00095CFB">
            <w:pPr>
              <w:rPr>
                <w:rFonts w:cstheme="minorHAnsi"/>
                <w:bCs/>
                <w:sz w:val="18"/>
                <w:szCs w:val="18"/>
              </w:rPr>
            </w:pPr>
            <w:r w:rsidRPr="0043094B">
              <w:rPr>
                <w:rFonts w:cstheme="minorHAnsi"/>
                <w:b/>
                <w:bCs/>
                <w:sz w:val="18"/>
                <w:szCs w:val="18"/>
              </w:rPr>
              <w:t xml:space="preserve">Output 3.1: </w:t>
            </w:r>
            <w:r w:rsidRPr="0043094B">
              <w:rPr>
                <w:rFonts w:cstheme="minorHAnsi"/>
                <w:bCs/>
                <w:sz w:val="18"/>
                <w:szCs w:val="18"/>
              </w:rPr>
              <w:t xml:space="preserve">Key agencies and OERC mandates have been revised and strengthened to catalyze improved </w:t>
            </w:r>
            <w:r w:rsidRPr="0043094B">
              <w:rPr>
                <w:rFonts w:cstheme="minorHAnsi"/>
                <w:bCs/>
                <w:sz w:val="18"/>
                <w:szCs w:val="18"/>
              </w:rPr>
              <w:lastRenderedPageBreak/>
              <w:t>decision-making for the global environment.</w:t>
            </w:r>
          </w:p>
        </w:tc>
        <w:tc>
          <w:tcPr>
            <w:tcW w:w="1597" w:type="dxa"/>
          </w:tcPr>
          <w:p w14:paraId="7ADC424B"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lastRenderedPageBreak/>
              <w:t>An operational inter-sectorial coordination mechanism that build on existing instruments such as OERC, NEPC, PNRC, NPC, etc.</w:t>
            </w:r>
          </w:p>
        </w:tc>
        <w:tc>
          <w:tcPr>
            <w:tcW w:w="1440" w:type="dxa"/>
          </w:tcPr>
          <w:p w14:paraId="6EE83FFD" w14:textId="77777777" w:rsidR="00AA6728" w:rsidRPr="0043094B"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bCs/>
                <w:sz w:val="18"/>
                <w:szCs w:val="18"/>
              </w:rPr>
              <w:t>Existing mechanisms are operational, however there is very little inter-sectorial coordination</w:t>
            </w:r>
          </w:p>
        </w:tc>
        <w:tc>
          <w:tcPr>
            <w:tcW w:w="1643" w:type="dxa"/>
          </w:tcPr>
          <w:p w14:paraId="5EEBB9C8" w14:textId="77777777" w:rsidR="00AA6728" w:rsidRPr="0043094B" w:rsidRDefault="00AA6728" w:rsidP="00AA672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bCs/>
                <w:sz w:val="18"/>
                <w:szCs w:val="18"/>
              </w:rPr>
              <w:t>Coordinating MEAs implementation including a broader stakeholder involvement</w:t>
            </w:r>
          </w:p>
        </w:tc>
        <w:tc>
          <w:tcPr>
            <w:tcW w:w="6997" w:type="dxa"/>
          </w:tcPr>
          <w:p w14:paraId="4B4AE349" w14:textId="77777777" w:rsidR="00AA6728" w:rsidRPr="0043094B" w:rsidRDefault="002E5BA8" w:rsidP="002E5BA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sz w:val="18"/>
                <w:szCs w:val="18"/>
                <w:lang w:val="en-GB"/>
              </w:rPr>
              <w:t xml:space="preserve">A newly created informal national body, called Palau National Climate Working Group, composed of key agencies representing environmental group (NEPC) energy group (Palau National Energy Committee) and National Emergency Committee (NEC) was established in July 2017 to improve inter-sectoral </w:t>
            </w:r>
            <w:r w:rsidR="00A43931" w:rsidRPr="0043094B">
              <w:rPr>
                <w:rFonts w:asciiTheme="minorHAnsi" w:hAnsiTheme="minorHAnsi" w:cstheme="minorHAnsi"/>
                <w:sz w:val="18"/>
                <w:szCs w:val="18"/>
                <w:lang w:val="en-GB"/>
              </w:rPr>
              <w:t>coordination.</w:t>
            </w:r>
          </w:p>
          <w:p w14:paraId="53391263" w14:textId="77777777" w:rsidR="00A43931" w:rsidRPr="0043094B" w:rsidRDefault="00A43931" w:rsidP="002E5BA8">
            <w:pPr>
              <w:pStyle w:val="ListParagraph"/>
              <w:numPr>
                <w:ilvl w:val="0"/>
                <w:numId w:val="4"/>
              </w:numPr>
              <w:ind w:left="77" w:hanging="142"/>
              <w:contextualSpacing/>
              <w:rPr>
                <w:rFonts w:asciiTheme="minorHAnsi" w:hAnsiTheme="minorHAnsi" w:cstheme="minorHAnsi"/>
                <w:sz w:val="18"/>
                <w:szCs w:val="18"/>
                <w:lang w:val="en-GB"/>
              </w:rPr>
            </w:pPr>
            <w:r w:rsidRPr="0043094B">
              <w:rPr>
                <w:rFonts w:asciiTheme="minorHAnsi" w:hAnsiTheme="minorHAnsi" w:cstheme="minorHAnsi"/>
                <w:sz w:val="18"/>
                <w:szCs w:val="18"/>
                <w:lang w:val="en-GB"/>
              </w:rPr>
              <w:t>The SDG indicators and Central Environmental Database will also strengthen coordination and improve reporting quality.</w:t>
            </w:r>
          </w:p>
          <w:p w14:paraId="4F833C20" w14:textId="77777777" w:rsidR="003132AB" w:rsidRPr="0043094B" w:rsidRDefault="003132AB" w:rsidP="003132AB">
            <w:pPr>
              <w:pStyle w:val="ListParagraph"/>
              <w:ind w:left="77"/>
              <w:contextualSpacing/>
              <w:rPr>
                <w:rFonts w:asciiTheme="minorHAnsi" w:hAnsiTheme="minorHAnsi" w:cstheme="minorHAnsi"/>
                <w:sz w:val="18"/>
                <w:szCs w:val="18"/>
                <w:lang w:val="en-GB"/>
              </w:rPr>
            </w:pPr>
          </w:p>
          <w:p w14:paraId="78A6817F" w14:textId="77777777" w:rsidR="003132AB" w:rsidRPr="0043094B" w:rsidRDefault="003132AB" w:rsidP="003132AB">
            <w:pPr>
              <w:pStyle w:val="ListParagraph"/>
              <w:ind w:left="77"/>
              <w:contextualSpacing/>
              <w:jc w:val="center"/>
              <w:rPr>
                <w:rFonts w:asciiTheme="minorHAnsi" w:hAnsiTheme="minorHAnsi" w:cstheme="minorHAnsi"/>
                <w:b/>
                <w:sz w:val="18"/>
                <w:szCs w:val="18"/>
                <w:lang w:val="en-GB"/>
              </w:rPr>
            </w:pPr>
            <w:r w:rsidRPr="0043094B">
              <w:rPr>
                <w:rFonts w:asciiTheme="minorHAnsi" w:hAnsiTheme="minorHAnsi" w:cstheme="minorHAnsi"/>
                <w:b/>
                <w:sz w:val="18"/>
                <w:szCs w:val="18"/>
                <w:lang w:val="en-GB"/>
              </w:rPr>
              <w:t>2018 Progress</w:t>
            </w:r>
          </w:p>
          <w:p w14:paraId="4A6297E6" w14:textId="5BD12961" w:rsidR="003132AB" w:rsidRPr="0043094B" w:rsidRDefault="003132AB" w:rsidP="003132AB">
            <w:pPr>
              <w:pStyle w:val="ListParagraph"/>
              <w:numPr>
                <w:ilvl w:val="0"/>
                <w:numId w:val="30"/>
              </w:numPr>
              <w:contextualSpacing/>
              <w:rPr>
                <w:rFonts w:asciiTheme="minorHAnsi" w:hAnsiTheme="minorHAnsi" w:cstheme="minorHAnsi"/>
                <w:sz w:val="18"/>
                <w:szCs w:val="18"/>
                <w:lang w:val="en-GB"/>
              </w:rPr>
            </w:pPr>
            <w:r w:rsidRPr="0043094B">
              <w:rPr>
                <w:rFonts w:asciiTheme="minorHAnsi" w:hAnsiTheme="minorHAnsi" w:cstheme="minorHAnsi"/>
                <w:sz w:val="18"/>
                <w:szCs w:val="18"/>
                <w:lang w:val="en-GB"/>
              </w:rPr>
              <w:t>Creation of NEPC Working Groups - done</w:t>
            </w:r>
          </w:p>
          <w:p w14:paraId="0D83E1D6" w14:textId="77777777" w:rsidR="003132AB" w:rsidRPr="0043094B" w:rsidRDefault="003132AB" w:rsidP="003132AB">
            <w:pPr>
              <w:pStyle w:val="ListParagraph"/>
              <w:numPr>
                <w:ilvl w:val="0"/>
                <w:numId w:val="30"/>
              </w:numPr>
              <w:contextualSpacing/>
              <w:rPr>
                <w:rFonts w:asciiTheme="minorHAnsi" w:hAnsiTheme="minorHAnsi" w:cstheme="minorHAnsi"/>
                <w:sz w:val="18"/>
                <w:szCs w:val="18"/>
                <w:lang w:val="en-GB"/>
              </w:rPr>
            </w:pPr>
            <w:r w:rsidRPr="0043094B">
              <w:rPr>
                <w:rFonts w:asciiTheme="minorHAnsi" w:hAnsiTheme="minorHAnsi" w:cstheme="minorHAnsi"/>
                <w:sz w:val="18"/>
                <w:szCs w:val="18"/>
                <w:lang w:val="en-GB"/>
              </w:rPr>
              <w:t>Creation of SDG Implementation and M &amp; E – almost done.  Draft Executive Order has been completed and expected to be signed by the President this month.</w:t>
            </w:r>
          </w:p>
          <w:p w14:paraId="3DB0B160" w14:textId="56796E75" w:rsidR="00914B6E" w:rsidRPr="0043094B" w:rsidRDefault="00914B6E" w:rsidP="00914B6E">
            <w:pPr>
              <w:pStyle w:val="ListParagraph"/>
              <w:ind w:left="797"/>
              <w:contextualSpacing/>
              <w:rPr>
                <w:rFonts w:asciiTheme="minorHAnsi" w:hAnsiTheme="minorHAnsi" w:cstheme="minorHAnsi"/>
                <w:sz w:val="18"/>
                <w:szCs w:val="18"/>
                <w:lang w:val="en-GB"/>
              </w:rPr>
            </w:pPr>
          </w:p>
        </w:tc>
      </w:tr>
      <w:tr w:rsidR="00AA6728" w:rsidRPr="00891152" w14:paraId="7BAC1D12" w14:textId="77777777" w:rsidTr="000551C4">
        <w:trPr>
          <w:trHeight w:val="841"/>
        </w:trPr>
        <w:tc>
          <w:tcPr>
            <w:tcW w:w="1075" w:type="dxa"/>
            <w:vMerge/>
            <w:shd w:val="clear" w:color="auto" w:fill="auto"/>
          </w:tcPr>
          <w:p w14:paraId="4473FB53" w14:textId="436A3071" w:rsidR="00AA6728" w:rsidRPr="0043094B" w:rsidRDefault="00AA6728" w:rsidP="00095CFB">
            <w:pPr>
              <w:rPr>
                <w:rFonts w:cstheme="minorHAnsi"/>
                <w:b/>
                <w:bCs/>
                <w:sz w:val="18"/>
                <w:szCs w:val="18"/>
              </w:rPr>
            </w:pPr>
          </w:p>
        </w:tc>
        <w:tc>
          <w:tcPr>
            <w:tcW w:w="1597" w:type="dxa"/>
          </w:tcPr>
          <w:p w14:paraId="307D8535" w14:textId="77777777" w:rsidR="00AA6728" w:rsidRPr="0043094B" w:rsidRDefault="00AA6728" w:rsidP="00AA6728">
            <w:pPr>
              <w:pStyle w:val="ListParagraph"/>
              <w:numPr>
                <w:ilvl w:val="0"/>
                <w:numId w:val="6"/>
              </w:numPr>
              <w:tabs>
                <w:tab w:val="left" w:pos="295"/>
              </w:tabs>
              <w:ind w:left="295" w:hanging="295"/>
              <w:contextualSpacing/>
              <w:rPr>
                <w:rFonts w:asciiTheme="minorHAnsi" w:hAnsiTheme="minorHAnsi" w:cstheme="minorHAnsi"/>
                <w:bCs/>
                <w:sz w:val="18"/>
                <w:szCs w:val="18"/>
              </w:rPr>
            </w:pPr>
            <w:r w:rsidRPr="0043094B">
              <w:rPr>
                <w:rFonts w:asciiTheme="minorHAnsi" w:hAnsiTheme="minorHAnsi" w:cstheme="minorHAnsi"/>
                <w:bCs/>
                <w:sz w:val="18"/>
                <w:szCs w:val="18"/>
              </w:rPr>
              <w:t>Endorsed action plans for implementing MEAs supporting government's MEA obligations.</w:t>
            </w:r>
          </w:p>
        </w:tc>
        <w:tc>
          <w:tcPr>
            <w:tcW w:w="1440" w:type="dxa"/>
          </w:tcPr>
          <w:p w14:paraId="5A6C04DD"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Existing action plans are operational but are focused on specific sectors with limited multi-sectoral approaches</w:t>
            </w:r>
          </w:p>
        </w:tc>
        <w:tc>
          <w:tcPr>
            <w:tcW w:w="1643" w:type="dxa"/>
          </w:tcPr>
          <w:p w14:paraId="7D037E7A"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Renewed commitments to implement MEAs in annual work plans with specific budgets and an improve multi-sectoral approach</w:t>
            </w:r>
          </w:p>
          <w:p w14:paraId="0A18199E" w14:textId="77777777" w:rsidR="00AA6728" w:rsidRPr="0043094B" w:rsidRDefault="00AA6728" w:rsidP="00AA6728">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Greater national budget allocation to the environment sector</w:t>
            </w:r>
          </w:p>
        </w:tc>
        <w:tc>
          <w:tcPr>
            <w:tcW w:w="6997" w:type="dxa"/>
          </w:tcPr>
          <w:p w14:paraId="7231AAA7" w14:textId="77777777" w:rsidR="009B65A7" w:rsidRPr="0043094B" w:rsidRDefault="009B65A7" w:rsidP="009B65A7">
            <w:pPr>
              <w:pStyle w:val="ListParagraph"/>
              <w:numPr>
                <w:ilvl w:val="0"/>
                <w:numId w:val="4"/>
              </w:numPr>
              <w:ind w:left="77" w:hanging="142"/>
              <w:contextualSpacing/>
              <w:rPr>
                <w:rFonts w:asciiTheme="minorHAnsi" w:hAnsiTheme="minorHAnsi" w:cstheme="minorHAnsi"/>
                <w:bCs/>
                <w:sz w:val="18"/>
                <w:szCs w:val="18"/>
              </w:rPr>
            </w:pPr>
            <w:r w:rsidRPr="0043094B">
              <w:rPr>
                <w:rFonts w:asciiTheme="minorHAnsi" w:hAnsiTheme="minorHAnsi" w:cstheme="minorHAnsi"/>
                <w:bCs/>
                <w:sz w:val="18"/>
                <w:szCs w:val="18"/>
              </w:rPr>
              <w:t>The national government underwent a reorganization which was operationalized in early 2016.  Direct results from this reorganization include:</w:t>
            </w:r>
          </w:p>
          <w:p w14:paraId="766CC772" w14:textId="5E758044" w:rsidR="009B65A7" w:rsidRPr="0043094B" w:rsidRDefault="009B65A7" w:rsidP="009B65A7">
            <w:pPr>
              <w:pStyle w:val="ListParagraph"/>
              <w:numPr>
                <w:ilvl w:val="0"/>
                <w:numId w:val="11"/>
              </w:numPr>
              <w:contextualSpacing/>
              <w:rPr>
                <w:rFonts w:asciiTheme="minorHAnsi" w:hAnsiTheme="minorHAnsi" w:cstheme="minorHAnsi"/>
                <w:bCs/>
                <w:sz w:val="18"/>
                <w:szCs w:val="18"/>
              </w:rPr>
            </w:pPr>
            <w:r w:rsidRPr="0043094B">
              <w:rPr>
                <w:rFonts w:asciiTheme="minorHAnsi" w:hAnsiTheme="minorHAnsi" w:cstheme="minorHAnsi"/>
                <w:bCs/>
                <w:sz w:val="18"/>
                <w:szCs w:val="18"/>
              </w:rPr>
              <w:t>Creation of a dedicated Office of Climate Change to lead the implementation, coordination and reporting of UNFCCC obligations.</w:t>
            </w:r>
          </w:p>
          <w:p w14:paraId="7DB9503F" w14:textId="3FE40423" w:rsidR="00B25D7B" w:rsidRPr="0043094B" w:rsidRDefault="00B25D7B" w:rsidP="009B65A7">
            <w:pPr>
              <w:pStyle w:val="ListParagraph"/>
              <w:numPr>
                <w:ilvl w:val="0"/>
                <w:numId w:val="11"/>
              </w:numPr>
              <w:contextualSpacing/>
              <w:rPr>
                <w:rFonts w:asciiTheme="minorHAnsi" w:hAnsiTheme="minorHAnsi" w:cstheme="minorHAnsi"/>
                <w:bCs/>
                <w:sz w:val="18"/>
                <w:szCs w:val="18"/>
              </w:rPr>
            </w:pPr>
            <w:r w:rsidRPr="0043094B">
              <w:rPr>
                <w:rFonts w:asciiTheme="minorHAnsi" w:hAnsiTheme="minorHAnsi" w:cstheme="minorHAnsi"/>
                <w:bCs/>
                <w:sz w:val="18"/>
                <w:szCs w:val="18"/>
              </w:rPr>
              <w:t>Creation of the Palau Energy Administration under Ministry of Public Infrastructure, Industries and Commerce.  Prior to this, the office was relying on 100% outside grants to carry out their mandates.</w:t>
            </w:r>
          </w:p>
          <w:p w14:paraId="5CC6897E" w14:textId="18FF56F3" w:rsidR="009B65A7" w:rsidRPr="0043094B" w:rsidRDefault="009B65A7" w:rsidP="009B65A7">
            <w:pPr>
              <w:pStyle w:val="ListParagraph"/>
              <w:numPr>
                <w:ilvl w:val="0"/>
                <w:numId w:val="11"/>
              </w:numPr>
              <w:contextualSpacing/>
              <w:rPr>
                <w:rFonts w:asciiTheme="minorHAnsi" w:hAnsiTheme="minorHAnsi" w:cstheme="minorHAnsi"/>
                <w:bCs/>
                <w:sz w:val="18"/>
                <w:szCs w:val="18"/>
              </w:rPr>
            </w:pPr>
            <w:r w:rsidRPr="0043094B">
              <w:rPr>
                <w:rFonts w:asciiTheme="minorHAnsi" w:hAnsiTheme="minorHAnsi" w:cstheme="minorHAnsi"/>
                <w:bCs/>
                <w:sz w:val="18"/>
                <w:szCs w:val="18"/>
              </w:rPr>
              <w:t>Creation of the NEPC Unit under PALARIS with dedicated full-time Secretariat</w:t>
            </w:r>
            <w:r w:rsidR="00B25D7B" w:rsidRPr="0043094B">
              <w:rPr>
                <w:rFonts w:asciiTheme="minorHAnsi" w:hAnsiTheme="minorHAnsi" w:cstheme="minorHAnsi"/>
                <w:bCs/>
                <w:sz w:val="18"/>
                <w:szCs w:val="18"/>
              </w:rPr>
              <w:t>.  Prior to this, the NEPC has not been very active for several years.</w:t>
            </w:r>
          </w:p>
          <w:p w14:paraId="59FF0545" w14:textId="77777777" w:rsidR="009B65A7" w:rsidRPr="0043094B" w:rsidRDefault="009B65A7" w:rsidP="00914B6E">
            <w:pPr>
              <w:ind w:left="77"/>
              <w:contextualSpacing/>
              <w:rPr>
                <w:rFonts w:cstheme="minorHAnsi"/>
                <w:bCs/>
                <w:sz w:val="18"/>
                <w:szCs w:val="18"/>
              </w:rPr>
            </w:pPr>
          </w:p>
          <w:p w14:paraId="2B70A3E0" w14:textId="4728927F" w:rsidR="00914B6E" w:rsidRPr="0043094B" w:rsidRDefault="00914B6E" w:rsidP="00914B6E">
            <w:pPr>
              <w:ind w:left="77"/>
              <w:contextualSpacing/>
              <w:rPr>
                <w:rFonts w:cstheme="minorHAnsi"/>
                <w:bCs/>
                <w:sz w:val="18"/>
                <w:szCs w:val="18"/>
              </w:rPr>
            </w:pPr>
            <w:r w:rsidRPr="0043094B">
              <w:rPr>
                <w:rFonts w:cstheme="minorHAnsi"/>
                <w:b/>
                <w:bCs/>
                <w:sz w:val="18"/>
                <w:szCs w:val="18"/>
              </w:rPr>
              <w:t>2018 Progress –</w:t>
            </w:r>
            <w:r w:rsidR="006935F9" w:rsidRPr="0043094B">
              <w:rPr>
                <w:rFonts w:cstheme="minorHAnsi"/>
                <w:b/>
                <w:bCs/>
                <w:sz w:val="18"/>
                <w:szCs w:val="18"/>
              </w:rPr>
              <w:t xml:space="preserve"> </w:t>
            </w:r>
            <w:r w:rsidRPr="0043094B">
              <w:rPr>
                <w:rFonts w:cstheme="minorHAnsi"/>
                <w:bCs/>
                <w:sz w:val="18"/>
                <w:szCs w:val="18"/>
              </w:rPr>
              <w:t>no new changes</w:t>
            </w:r>
          </w:p>
          <w:p w14:paraId="3E13FB3E" w14:textId="77777777" w:rsidR="00914B6E" w:rsidRPr="0043094B" w:rsidRDefault="00914B6E" w:rsidP="00914B6E">
            <w:pPr>
              <w:contextualSpacing/>
              <w:rPr>
                <w:rFonts w:cstheme="minorHAnsi"/>
                <w:bCs/>
                <w:sz w:val="18"/>
                <w:szCs w:val="18"/>
              </w:rPr>
            </w:pPr>
          </w:p>
          <w:p w14:paraId="271F5495" w14:textId="55EFF909" w:rsidR="009B65A7" w:rsidRPr="0043094B" w:rsidRDefault="009B65A7" w:rsidP="003132AB">
            <w:pPr>
              <w:pStyle w:val="ListParagraph"/>
              <w:ind w:left="77"/>
              <w:contextualSpacing/>
              <w:rPr>
                <w:rFonts w:asciiTheme="minorHAnsi" w:hAnsiTheme="minorHAnsi" w:cstheme="minorHAnsi"/>
                <w:bCs/>
                <w:sz w:val="18"/>
                <w:szCs w:val="18"/>
              </w:rPr>
            </w:pPr>
          </w:p>
        </w:tc>
      </w:tr>
    </w:tbl>
    <w:p w14:paraId="14E42AE3" w14:textId="479589FA" w:rsidR="00AA6728" w:rsidRPr="00891152" w:rsidRDefault="00AA6728" w:rsidP="00AA6728">
      <w:pPr>
        <w:widowControl w:val="0"/>
        <w:adjustRightInd w:val="0"/>
        <w:jc w:val="both"/>
        <w:textAlignment w:val="baseline"/>
        <w:rPr>
          <w:vanish/>
        </w:rPr>
      </w:pPr>
    </w:p>
    <w:p w14:paraId="104DF6F2" w14:textId="77777777" w:rsidR="00AA6728" w:rsidRPr="00891152" w:rsidRDefault="00AA6728" w:rsidP="00AA6728">
      <w:pPr>
        <w:rPr>
          <w:vanish/>
        </w:rPr>
      </w:pPr>
    </w:p>
    <w:p w14:paraId="2B1F9C04" w14:textId="63AC9F29" w:rsidR="00B97D6C" w:rsidRDefault="00B97D6C" w:rsidP="004503DA"/>
    <w:p w14:paraId="0A473920" w14:textId="77777777" w:rsidR="00226AB6" w:rsidRPr="008441B8" w:rsidRDefault="468716C7" w:rsidP="468716C7">
      <w:pPr>
        <w:pStyle w:val="Heading2"/>
        <w:rPr>
          <w:rFonts w:asciiTheme="minorHAnsi" w:hAnsiTheme="minorHAnsi"/>
          <w:b/>
          <w:bCs/>
          <w:i/>
          <w:iCs/>
          <w:color w:val="auto"/>
          <w:u w:val="single"/>
        </w:rPr>
      </w:pPr>
      <w:r w:rsidRPr="0084003D">
        <w:rPr>
          <w:rFonts w:asciiTheme="minorHAnsi" w:hAnsiTheme="minorHAnsi"/>
          <w:b/>
          <w:bCs/>
          <w:i/>
          <w:iCs/>
          <w:color w:val="auto"/>
          <w:u w:val="single"/>
        </w:rPr>
        <w:t>Key outputs delivered during reporting period:</w:t>
      </w:r>
    </w:p>
    <w:tbl>
      <w:tblPr>
        <w:tblStyle w:val="TableGrid"/>
        <w:tblW w:w="0" w:type="auto"/>
        <w:tblLook w:val="04A0" w:firstRow="1" w:lastRow="0" w:firstColumn="1" w:lastColumn="0" w:noHBand="0" w:noVBand="1"/>
      </w:tblPr>
      <w:tblGrid>
        <w:gridCol w:w="6475"/>
        <w:gridCol w:w="6475"/>
      </w:tblGrid>
      <w:tr w:rsidR="00226AB6" w14:paraId="0B144333" w14:textId="77777777" w:rsidTr="468716C7">
        <w:trPr>
          <w:trHeight w:val="485"/>
        </w:trPr>
        <w:tc>
          <w:tcPr>
            <w:tcW w:w="6475" w:type="dxa"/>
            <w:shd w:val="clear" w:color="auto" w:fill="D0CECE"/>
          </w:tcPr>
          <w:p w14:paraId="696739A5" w14:textId="77777777" w:rsidR="00226AB6" w:rsidRPr="00226AB6" w:rsidRDefault="468716C7" w:rsidP="468716C7">
            <w:pPr>
              <w:rPr>
                <w:b/>
                <w:bCs/>
                <w:sz w:val="20"/>
                <w:szCs w:val="20"/>
              </w:rPr>
            </w:pPr>
            <w:r w:rsidRPr="468716C7">
              <w:rPr>
                <w:b/>
                <w:bCs/>
                <w:sz w:val="20"/>
                <w:szCs w:val="20"/>
              </w:rPr>
              <w:t>Project Outcome</w:t>
            </w:r>
          </w:p>
        </w:tc>
        <w:tc>
          <w:tcPr>
            <w:tcW w:w="6475" w:type="dxa"/>
            <w:shd w:val="clear" w:color="auto" w:fill="D0CECE"/>
          </w:tcPr>
          <w:p w14:paraId="381B518C" w14:textId="77777777" w:rsidR="00226AB6" w:rsidRPr="00C94DD6" w:rsidRDefault="468716C7" w:rsidP="468716C7">
            <w:pPr>
              <w:rPr>
                <w:rFonts w:cstheme="minorHAnsi"/>
                <w:b/>
                <w:bCs/>
                <w:sz w:val="20"/>
                <w:szCs w:val="20"/>
              </w:rPr>
            </w:pPr>
            <w:r w:rsidRPr="00C94DD6">
              <w:rPr>
                <w:rFonts w:cstheme="minorHAnsi"/>
                <w:b/>
                <w:bCs/>
                <w:sz w:val="20"/>
                <w:szCs w:val="20"/>
              </w:rPr>
              <w:t>Key Outputs</w:t>
            </w:r>
          </w:p>
        </w:tc>
      </w:tr>
      <w:tr w:rsidR="00226AB6" w14:paraId="2D65A027" w14:textId="77777777" w:rsidTr="468716C7">
        <w:tc>
          <w:tcPr>
            <w:tcW w:w="6475" w:type="dxa"/>
          </w:tcPr>
          <w:p w14:paraId="2362BF1D" w14:textId="1B471AFD" w:rsidR="00226AB6" w:rsidRDefault="00A72D2C" w:rsidP="004503DA">
            <w:r>
              <w:t>Improved management information system for the global environment</w:t>
            </w:r>
          </w:p>
        </w:tc>
        <w:tc>
          <w:tcPr>
            <w:tcW w:w="6475" w:type="dxa"/>
          </w:tcPr>
          <w:p w14:paraId="5C68D872" w14:textId="11469908" w:rsidR="009613A7" w:rsidRPr="00C94DD6" w:rsidRDefault="009613A7" w:rsidP="009613A7">
            <w:pPr>
              <w:pStyle w:val="ListParagraph"/>
              <w:numPr>
                <w:ilvl w:val="0"/>
                <w:numId w:val="8"/>
              </w:numPr>
              <w:contextualSpacing/>
              <w:rPr>
                <w:rFonts w:asciiTheme="minorHAnsi" w:hAnsiTheme="minorHAnsi" w:cstheme="minorHAnsi"/>
                <w:bCs/>
                <w:sz w:val="20"/>
                <w:szCs w:val="20"/>
              </w:rPr>
            </w:pPr>
            <w:r w:rsidRPr="00C94DD6">
              <w:rPr>
                <w:rFonts w:asciiTheme="minorHAnsi" w:hAnsiTheme="minorHAnsi" w:cstheme="minorHAnsi"/>
                <w:bCs/>
                <w:sz w:val="20"/>
                <w:szCs w:val="20"/>
              </w:rPr>
              <w:t xml:space="preserve">5 </w:t>
            </w:r>
            <w:r w:rsidR="00C920E8" w:rsidRPr="00C94DD6">
              <w:rPr>
                <w:rFonts w:asciiTheme="minorHAnsi" w:hAnsiTheme="minorHAnsi" w:cstheme="minorHAnsi"/>
                <w:bCs/>
                <w:sz w:val="20"/>
                <w:szCs w:val="20"/>
              </w:rPr>
              <w:t xml:space="preserve">CB2 Project </w:t>
            </w:r>
            <w:r w:rsidRPr="00C94DD6">
              <w:rPr>
                <w:rFonts w:asciiTheme="minorHAnsi" w:hAnsiTheme="minorHAnsi" w:cstheme="minorHAnsi"/>
                <w:bCs/>
                <w:sz w:val="20"/>
                <w:szCs w:val="20"/>
              </w:rPr>
              <w:t>Reports:</w:t>
            </w:r>
          </w:p>
          <w:p w14:paraId="3D4486F3" w14:textId="4E649F65" w:rsidR="009613A7" w:rsidRPr="00C94DD6" w:rsidRDefault="009613A7" w:rsidP="00A72D2C">
            <w:pPr>
              <w:pStyle w:val="ListParagraph"/>
              <w:numPr>
                <w:ilvl w:val="0"/>
                <w:numId w:val="12"/>
              </w:numPr>
              <w:contextualSpacing/>
              <w:rPr>
                <w:rFonts w:asciiTheme="minorHAnsi" w:hAnsiTheme="minorHAnsi" w:cstheme="minorHAnsi"/>
                <w:bCs/>
                <w:sz w:val="20"/>
                <w:szCs w:val="20"/>
              </w:rPr>
            </w:pPr>
            <w:r w:rsidRPr="00C94DD6">
              <w:rPr>
                <w:rFonts w:asciiTheme="minorHAnsi" w:hAnsiTheme="minorHAnsi" w:cstheme="minorHAnsi"/>
                <w:bCs/>
                <w:sz w:val="20"/>
                <w:szCs w:val="20"/>
              </w:rPr>
              <w:t>Inventory of environmental information data sets</w:t>
            </w:r>
          </w:p>
          <w:p w14:paraId="08F9E395" w14:textId="1B45A855" w:rsidR="009613A7" w:rsidRPr="00C94DD6" w:rsidRDefault="009613A7" w:rsidP="00A72D2C">
            <w:pPr>
              <w:pStyle w:val="ListParagraph"/>
              <w:numPr>
                <w:ilvl w:val="0"/>
                <w:numId w:val="12"/>
              </w:numPr>
              <w:contextualSpacing/>
              <w:rPr>
                <w:rFonts w:asciiTheme="minorHAnsi" w:hAnsiTheme="minorHAnsi" w:cstheme="minorHAnsi"/>
                <w:bCs/>
                <w:sz w:val="20"/>
                <w:szCs w:val="20"/>
              </w:rPr>
            </w:pPr>
            <w:r w:rsidRPr="00C94DD6">
              <w:rPr>
                <w:rFonts w:asciiTheme="minorHAnsi" w:hAnsiTheme="minorHAnsi" w:cstheme="minorHAnsi"/>
                <w:bCs/>
                <w:sz w:val="20"/>
                <w:szCs w:val="20"/>
              </w:rPr>
              <w:t>Review and assessment of protocols for environmental data sharing and identification of environmental reporting obligations</w:t>
            </w:r>
          </w:p>
          <w:p w14:paraId="759C93A8" w14:textId="5CFFA0F2" w:rsidR="009613A7" w:rsidRPr="00C94DD6" w:rsidRDefault="009613A7" w:rsidP="00A72D2C">
            <w:pPr>
              <w:pStyle w:val="ListParagraph"/>
              <w:numPr>
                <w:ilvl w:val="0"/>
                <w:numId w:val="12"/>
              </w:numPr>
              <w:contextualSpacing/>
              <w:rPr>
                <w:rFonts w:asciiTheme="minorHAnsi" w:hAnsiTheme="minorHAnsi" w:cstheme="minorHAnsi"/>
                <w:bCs/>
                <w:sz w:val="20"/>
                <w:szCs w:val="20"/>
              </w:rPr>
            </w:pPr>
            <w:r w:rsidRPr="00C94DD6">
              <w:rPr>
                <w:rFonts w:asciiTheme="minorHAnsi" w:hAnsiTheme="minorHAnsi" w:cstheme="minorHAnsi"/>
                <w:bCs/>
                <w:sz w:val="20"/>
                <w:szCs w:val="20"/>
              </w:rPr>
              <w:t>Report on environmental information gaps, policy and legislative gaps, and</w:t>
            </w:r>
            <w:r w:rsidR="00A72D2C" w:rsidRPr="00C94DD6">
              <w:rPr>
                <w:rFonts w:asciiTheme="minorHAnsi" w:hAnsiTheme="minorHAnsi" w:cstheme="minorHAnsi"/>
                <w:bCs/>
                <w:sz w:val="20"/>
                <w:szCs w:val="20"/>
              </w:rPr>
              <w:t xml:space="preserve"> </w:t>
            </w:r>
            <w:r w:rsidRPr="00C94DD6">
              <w:rPr>
                <w:rFonts w:asciiTheme="minorHAnsi" w:hAnsiTheme="minorHAnsi" w:cstheme="minorHAnsi"/>
                <w:bCs/>
                <w:sz w:val="20"/>
                <w:szCs w:val="20"/>
              </w:rPr>
              <w:t>environmental information needs of key stakeholders</w:t>
            </w:r>
          </w:p>
          <w:p w14:paraId="12D98DA5" w14:textId="4A1619C3" w:rsidR="009613A7" w:rsidRPr="00C94DD6" w:rsidRDefault="009613A7" w:rsidP="00A72D2C">
            <w:pPr>
              <w:pStyle w:val="ListParagraph"/>
              <w:numPr>
                <w:ilvl w:val="0"/>
                <w:numId w:val="12"/>
              </w:numPr>
              <w:contextualSpacing/>
              <w:rPr>
                <w:rFonts w:asciiTheme="minorHAnsi" w:hAnsiTheme="minorHAnsi" w:cstheme="minorHAnsi"/>
                <w:bCs/>
                <w:sz w:val="20"/>
                <w:szCs w:val="20"/>
              </w:rPr>
            </w:pPr>
            <w:r w:rsidRPr="00C94DD6">
              <w:rPr>
                <w:rFonts w:asciiTheme="minorHAnsi" w:hAnsiTheme="minorHAnsi" w:cstheme="minorHAnsi"/>
                <w:bCs/>
                <w:sz w:val="20"/>
                <w:szCs w:val="20"/>
              </w:rPr>
              <w:t>Palau’s State of the Environment (SOE) Report 2017</w:t>
            </w:r>
          </w:p>
          <w:p w14:paraId="1CC5DA82" w14:textId="0C873467" w:rsidR="00E835FE" w:rsidRDefault="009613A7" w:rsidP="00E835FE">
            <w:pPr>
              <w:pStyle w:val="ListParagraph"/>
              <w:numPr>
                <w:ilvl w:val="0"/>
                <w:numId w:val="12"/>
              </w:numPr>
              <w:contextualSpacing/>
              <w:rPr>
                <w:rFonts w:asciiTheme="minorHAnsi" w:hAnsiTheme="minorHAnsi" w:cstheme="minorHAnsi"/>
                <w:bCs/>
                <w:sz w:val="20"/>
                <w:szCs w:val="20"/>
              </w:rPr>
            </w:pPr>
            <w:r w:rsidRPr="00C94DD6">
              <w:rPr>
                <w:rFonts w:asciiTheme="minorHAnsi" w:hAnsiTheme="minorHAnsi" w:cstheme="minorHAnsi"/>
                <w:bCs/>
                <w:sz w:val="20"/>
                <w:szCs w:val="20"/>
              </w:rPr>
              <w:t>NEPC 2016 Annual Review</w:t>
            </w:r>
          </w:p>
          <w:p w14:paraId="4B23528D" w14:textId="77777777" w:rsidR="00E835FE" w:rsidRDefault="00E835FE" w:rsidP="00E835FE">
            <w:pPr>
              <w:pStyle w:val="ListParagraph"/>
              <w:contextualSpacing/>
              <w:rPr>
                <w:rFonts w:asciiTheme="minorHAnsi" w:hAnsiTheme="minorHAnsi" w:cstheme="minorHAnsi"/>
                <w:bCs/>
                <w:sz w:val="20"/>
                <w:szCs w:val="20"/>
              </w:rPr>
            </w:pPr>
          </w:p>
          <w:p w14:paraId="10469081" w14:textId="77777777" w:rsidR="00E835FE" w:rsidRPr="005D275C" w:rsidRDefault="00E835FE" w:rsidP="00E835FE">
            <w:pPr>
              <w:contextualSpacing/>
              <w:rPr>
                <w:rFonts w:cstheme="minorHAnsi"/>
                <w:bCs/>
                <w:sz w:val="20"/>
                <w:szCs w:val="20"/>
              </w:rPr>
            </w:pPr>
            <w:r w:rsidRPr="005D275C">
              <w:rPr>
                <w:rFonts w:cstheme="minorHAnsi"/>
                <w:bCs/>
                <w:sz w:val="20"/>
                <w:szCs w:val="20"/>
              </w:rPr>
              <w:t>2018</w:t>
            </w:r>
          </w:p>
          <w:p w14:paraId="7BDEF9D5" w14:textId="77777777" w:rsidR="00E835FE" w:rsidRPr="005D275C" w:rsidRDefault="00E835FE" w:rsidP="00E835FE">
            <w:pPr>
              <w:pStyle w:val="ListParagraph"/>
              <w:numPr>
                <w:ilvl w:val="0"/>
                <w:numId w:val="32"/>
              </w:numPr>
              <w:contextualSpacing/>
              <w:rPr>
                <w:rFonts w:cstheme="minorHAnsi"/>
                <w:bCs/>
                <w:sz w:val="20"/>
                <w:szCs w:val="20"/>
              </w:rPr>
            </w:pPr>
            <w:r w:rsidRPr="005D275C">
              <w:rPr>
                <w:rFonts w:cstheme="minorHAnsi"/>
                <w:bCs/>
                <w:sz w:val="20"/>
                <w:szCs w:val="20"/>
              </w:rPr>
              <w:t>1</w:t>
            </w:r>
            <w:r w:rsidRPr="005D275C">
              <w:rPr>
                <w:rFonts w:cstheme="minorHAnsi"/>
                <w:bCs/>
                <w:sz w:val="20"/>
                <w:szCs w:val="20"/>
                <w:vertAlign w:val="superscript"/>
              </w:rPr>
              <w:t>st</w:t>
            </w:r>
            <w:r w:rsidRPr="005D275C">
              <w:rPr>
                <w:rFonts w:cstheme="minorHAnsi"/>
                <w:bCs/>
                <w:sz w:val="20"/>
                <w:szCs w:val="20"/>
              </w:rPr>
              <w:t xml:space="preserve"> National Environment Symposium Report</w:t>
            </w:r>
          </w:p>
          <w:p w14:paraId="79BAD8D1" w14:textId="3423593D" w:rsidR="009613A7" w:rsidRPr="005D275C" w:rsidRDefault="00C920E8" w:rsidP="00E835FE">
            <w:pPr>
              <w:pStyle w:val="ListParagraph"/>
              <w:numPr>
                <w:ilvl w:val="0"/>
                <w:numId w:val="32"/>
              </w:numPr>
              <w:contextualSpacing/>
              <w:rPr>
                <w:rFonts w:cstheme="minorHAnsi"/>
                <w:bCs/>
                <w:sz w:val="20"/>
                <w:szCs w:val="20"/>
              </w:rPr>
            </w:pPr>
            <w:r w:rsidRPr="005D275C">
              <w:rPr>
                <w:rFonts w:asciiTheme="minorHAnsi" w:hAnsiTheme="minorHAnsi" w:cstheme="minorHAnsi"/>
                <w:bCs/>
                <w:sz w:val="20"/>
                <w:szCs w:val="20"/>
              </w:rPr>
              <w:t xml:space="preserve">Established and endorsed National </w:t>
            </w:r>
            <w:r w:rsidR="000D0EF2" w:rsidRPr="005D275C">
              <w:rPr>
                <w:rFonts w:asciiTheme="minorHAnsi" w:hAnsiTheme="minorHAnsi" w:cstheme="minorHAnsi"/>
                <w:bCs/>
                <w:sz w:val="20"/>
                <w:szCs w:val="20"/>
              </w:rPr>
              <w:t>SDG Core Indicators containing 127</w:t>
            </w:r>
            <w:r w:rsidRPr="005D275C">
              <w:rPr>
                <w:rFonts w:asciiTheme="minorHAnsi" w:hAnsiTheme="minorHAnsi" w:cstheme="minorHAnsi"/>
                <w:bCs/>
                <w:sz w:val="20"/>
                <w:szCs w:val="20"/>
              </w:rPr>
              <w:t xml:space="preserve"> gl</w:t>
            </w:r>
            <w:r w:rsidR="000D0EF2" w:rsidRPr="005D275C">
              <w:rPr>
                <w:rFonts w:asciiTheme="minorHAnsi" w:hAnsiTheme="minorHAnsi" w:cstheme="minorHAnsi"/>
                <w:bCs/>
                <w:sz w:val="20"/>
                <w:szCs w:val="20"/>
              </w:rPr>
              <w:t>obal SDG indicators, of which 90</w:t>
            </w:r>
            <w:r w:rsidR="00256DF4" w:rsidRPr="005D275C">
              <w:rPr>
                <w:rFonts w:asciiTheme="minorHAnsi" w:hAnsiTheme="minorHAnsi" w:cstheme="minorHAnsi"/>
                <w:bCs/>
                <w:sz w:val="20"/>
                <w:szCs w:val="20"/>
              </w:rPr>
              <w:t xml:space="preserve"> (7</w:t>
            </w:r>
            <w:r w:rsidR="000D0EF2" w:rsidRPr="005D275C">
              <w:rPr>
                <w:rFonts w:asciiTheme="minorHAnsi" w:hAnsiTheme="minorHAnsi" w:cstheme="minorHAnsi"/>
                <w:bCs/>
                <w:sz w:val="20"/>
                <w:szCs w:val="20"/>
              </w:rPr>
              <w:t>0</w:t>
            </w:r>
            <w:r w:rsidR="00256DF4" w:rsidRPr="005D275C">
              <w:rPr>
                <w:rFonts w:asciiTheme="minorHAnsi" w:hAnsiTheme="minorHAnsi" w:cstheme="minorHAnsi"/>
                <w:bCs/>
                <w:sz w:val="20"/>
                <w:szCs w:val="20"/>
              </w:rPr>
              <w:t>%)</w:t>
            </w:r>
            <w:r w:rsidRPr="005D275C">
              <w:rPr>
                <w:rFonts w:asciiTheme="minorHAnsi" w:hAnsiTheme="minorHAnsi" w:cstheme="minorHAnsi"/>
                <w:bCs/>
                <w:sz w:val="20"/>
                <w:szCs w:val="20"/>
              </w:rPr>
              <w:t xml:space="preserve"> are </w:t>
            </w:r>
            <w:r w:rsidR="000D0EF2" w:rsidRPr="005D275C">
              <w:rPr>
                <w:rFonts w:asciiTheme="minorHAnsi" w:hAnsiTheme="minorHAnsi" w:cstheme="minorHAnsi"/>
                <w:bCs/>
                <w:sz w:val="20"/>
                <w:szCs w:val="20"/>
              </w:rPr>
              <w:t xml:space="preserve">shared with the </w:t>
            </w:r>
            <w:r w:rsidRPr="005D275C">
              <w:rPr>
                <w:rFonts w:asciiTheme="minorHAnsi" w:hAnsiTheme="minorHAnsi" w:cstheme="minorHAnsi"/>
                <w:bCs/>
                <w:sz w:val="20"/>
                <w:szCs w:val="20"/>
              </w:rPr>
              <w:t>Pacific Headline Indicators and 33</w:t>
            </w:r>
            <w:r w:rsidR="00256DF4" w:rsidRPr="005D275C">
              <w:rPr>
                <w:rFonts w:asciiTheme="minorHAnsi" w:hAnsiTheme="minorHAnsi" w:cstheme="minorHAnsi"/>
                <w:bCs/>
                <w:sz w:val="20"/>
                <w:szCs w:val="20"/>
              </w:rPr>
              <w:t xml:space="preserve"> (35%)</w:t>
            </w:r>
            <w:r w:rsidRPr="005D275C">
              <w:rPr>
                <w:rFonts w:asciiTheme="minorHAnsi" w:hAnsiTheme="minorHAnsi" w:cstheme="minorHAnsi"/>
                <w:bCs/>
                <w:sz w:val="20"/>
                <w:szCs w:val="20"/>
              </w:rPr>
              <w:t xml:space="preserve"> are MDG indicators</w:t>
            </w:r>
            <w:r w:rsidR="00256DF4" w:rsidRPr="005D275C">
              <w:rPr>
                <w:rFonts w:asciiTheme="minorHAnsi" w:hAnsiTheme="minorHAnsi" w:cstheme="minorHAnsi"/>
                <w:bCs/>
                <w:sz w:val="20"/>
                <w:szCs w:val="20"/>
              </w:rPr>
              <w:t>.</w:t>
            </w:r>
            <w:r w:rsidR="000D0EF2" w:rsidRPr="005D275C">
              <w:rPr>
                <w:rFonts w:asciiTheme="minorHAnsi" w:hAnsiTheme="minorHAnsi" w:cstheme="minorHAnsi"/>
                <w:bCs/>
                <w:sz w:val="20"/>
                <w:szCs w:val="20"/>
              </w:rPr>
              <w:t xml:space="preserve">  Of the 90 shared indicators, 44 have data points.  </w:t>
            </w:r>
          </w:p>
          <w:p w14:paraId="1E4A8F3C" w14:textId="77777777" w:rsidR="00226AB6" w:rsidRPr="00C94DD6" w:rsidRDefault="00226AB6" w:rsidP="004503DA">
            <w:pPr>
              <w:rPr>
                <w:rFonts w:cstheme="minorHAnsi"/>
                <w:sz w:val="20"/>
                <w:szCs w:val="20"/>
              </w:rPr>
            </w:pPr>
          </w:p>
        </w:tc>
      </w:tr>
      <w:tr w:rsidR="00226AB6" w14:paraId="19CCE5D1" w14:textId="77777777" w:rsidTr="468716C7">
        <w:tc>
          <w:tcPr>
            <w:tcW w:w="6475" w:type="dxa"/>
          </w:tcPr>
          <w:p w14:paraId="2EBDCA37" w14:textId="09A070E1" w:rsidR="00226AB6" w:rsidRDefault="006B5616" w:rsidP="004503DA">
            <w:r>
              <w:t>Strengthened technical capacities for monitoring and evaluation of the global environment</w:t>
            </w:r>
          </w:p>
        </w:tc>
        <w:tc>
          <w:tcPr>
            <w:tcW w:w="6475" w:type="dxa"/>
          </w:tcPr>
          <w:p w14:paraId="3C2241AB" w14:textId="093E1983" w:rsidR="0040097B" w:rsidRPr="00C94DD6" w:rsidRDefault="0040097B" w:rsidP="0040097B">
            <w:pPr>
              <w:pStyle w:val="ListParagraph"/>
              <w:numPr>
                <w:ilvl w:val="0"/>
                <w:numId w:val="15"/>
              </w:numPr>
              <w:rPr>
                <w:rFonts w:asciiTheme="minorHAnsi" w:hAnsiTheme="minorHAnsi" w:cstheme="minorHAnsi"/>
                <w:sz w:val="20"/>
                <w:szCs w:val="20"/>
              </w:rPr>
            </w:pPr>
            <w:r w:rsidRPr="00C94DD6">
              <w:rPr>
                <w:rFonts w:asciiTheme="minorHAnsi" w:hAnsiTheme="minorHAnsi" w:cstheme="minorHAnsi"/>
                <w:sz w:val="20"/>
                <w:szCs w:val="20"/>
              </w:rPr>
              <w:t>Training needs analysis for identified Top Tier agencies was completed and 2 of the 3 agencies needed training on Excel.</w:t>
            </w:r>
          </w:p>
          <w:p w14:paraId="2883083E" w14:textId="77777777" w:rsidR="00226AB6" w:rsidRPr="00C94DD6" w:rsidRDefault="0040097B" w:rsidP="0040097B">
            <w:pPr>
              <w:pStyle w:val="ListParagraph"/>
              <w:numPr>
                <w:ilvl w:val="0"/>
                <w:numId w:val="15"/>
              </w:numPr>
              <w:rPr>
                <w:rFonts w:asciiTheme="minorHAnsi" w:hAnsiTheme="minorHAnsi" w:cstheme="minorHAnsi"/>
                <w:sz w:val="20"/>
                <w:szCs w:val="20"/>
              </w:rPr>
            </w:pPr>
            <w:r w:rsidRPr="00C94DD6">
              <w:rPr>
                <w:rFonts w:asciiTheme="minorHAnsi" w:hAnsiTheme="minorHAnsi" w:cstheme="minorHAnsi"/>
                <w:sz w:val="20"/>
                <w:szCs w:val="20"/>
              </w:rPr>
              <w:lastRenderedPageBreak/>
              <w:t>Training for 2 of the 3 Top Tier CB2 project agencies (i.e., Bureau of Agriculture and Bureau of Marine Resources) on Excel completed.</w:t>
            </w:r>
          </w:p>
          <w:p w14:paraId="420375D9" w14:textId="74E30841" w:rsidR="0040097B" w:rsidRPr="00C94DD6" w:rsidRDefault="0040097B" w:rsidP="0040097B">
            <w:pPr>
              <w:pStyle w:val="ListParagraph"/>
              <w:numPr>
                <w:ilvl w:val="0"/>
                <w:numId w:val="15"/>
              </w:numPr>
              <w:rPr>
                <w:rFonts w:asciiTheme="minorHAnsi" w:hAnsiTheme="minorHAnsi" w:cstheme="minorHAnsi"/>
                <w:sz w:val="20"/>
                <w:szCs w:val="20"/>
              </w:rPr>
            </w:pPr>
            <w:r w:rsidRPr="00C94DD6">
              <w:rPr>
                <w:rFonts w:asciiTheme="minorHAnsi" w:hAnsiTheme="minorHAnsi" w:cstheme="minorHAnsi"/>
                <w:sz w:val="20"/>
                <w:szCs w:val="20"/>
              </w:rPr>
              <w:t>Key sharing information gaps have been identified and as a first step to fill these gaps is to target the Top Tier agencies by developing MOUs between them and PALARIS for data sharing.</w:t>
            </w:r>
            <w:r w:rsidR="0097387B" w:rsidRPr="00C94DD6">
              <w:rPr>
                <w:rFonts w:asciiTheme="minorHAnsi" w:hAnsiTheme="minorHAnsi" w:cstheme="minorHAnsi"/>
                <w:sz w:val="20"/>
                <w:szCs w:val="20"/>
              </w:rPr>
              <w:t xml:space="preserve">  This has also been delayed to next quarter.</w:t>
            </w:r>
          </w:p>
        </w:tc>
      </w:tr>
      <w:tr w:rsidR="00226AB6" w14:paraId="5F21AA96" w14:textId="77777777" w:rsidTr="468716C7">
        <w:tc>
          <w:tcPr>
            <w:tcW w:w="6475" w:type="dxa"/>
          </w:tcPr>
          <w:p w14:paraId="6499508D" w14:textId="45DFF762" w:rsidR="00226AB6" w:rsidRDefault="006B5616" w:rsidP="004503DA">
            <w:r>
              <w:lastRenderedPageBreak/>
              <w:t>Improved decision-making mechanisms for the global environment institutionalized</w:t>
            </w:r>
          </w:p>
        </w:tc>
        <w:tc>
          <w:tcPr>
            <w:tcW w:w="6475" w:type="dxa"/>
          </w:tcPr>
          <w:p w14:paraId="7AAE33A1" w14:textId="77777777" w:rsidR="00226AB6" w:rsidRPr="00C94DD6" w:rsidRDefault="00A0380E" w:rsidP="00A0380E">
            <w:pPr>
              <w:pStyle w:val="ListParagraph"/>
              <w:numPr>
                <w:ilvl w:val="0"/>
                <w:numId w:val="13"/>
              </w:numPr>
              <w:rPr>
                <w:rFonts w:asciiTheme="minorHAnsi" w:hAnsiTheme="minorHAnsi" w:cstheme="minorHAnsi"/>
                <w:sz w:val="20"/>
                <w:szCs w:val="20"/>
              </w:rPr>
            </w:pPr>
            <w:r w:rsidRPr="00C94DD6">
              <w:rPr>
                <w:rFonts w:asciiTheme="minorHAnsi" w:hAnsiTheme="minorHAnsi" w:cstheme="minorHAnsi"/>
                <w:sz w:val="20"/>
                <w:szCs w:val="20"/>
              </w:rPr>
              <w:t>NEPC Institutional evaluation completed with proposed recommendations to improve membership participation and to be more engaged in policy development.</w:t>
            </w:r>
          </w:p>
          <w:p w14:paraId="1F1B2CDE" w14:textId="6E40D627" w:rsidR="00DE23C2" w:rsidRDefault="00A0380E" w:rsidP="00DE23C2">
            <w:pPr>
              <w:pStyle w:val="ListParagraph"/>
              <w:numPr>
                <w:ilvl w:val="0"/>
                <w:numId w:val="13"/>
              </w:numPr>
              <w:rPr>
                <w:rFonts w:asciiTheme="minorHAnsi" w:hAnsiTheme="minorHAnsi" w:cstheme="minorHAnsi"/>
                <w:sz w:val="20"/>
                <w:szCs w:val="20"/>
              </w:rPr>
            </w:pPr>
            <w:r w:rsidRPr="00C94DD6">
              <w:rPr>
                <w:rFonts w:asciiTheme="minorHAnsi" w:hAnsiTheme="minorHAnsi" w:cstheme="minorHAnsi"/>
                <w:sz w:val="20"/>
                <w:szCs w:val="20"/>
              </w:rPr>
              <w:t>Development of NEPC Internal Operations Guide based on results of the institutional evaluation has been initiated with securing technical expert assistance, but development of the Guide has been delayed to next quarter.</w:t>
            </w:r>
          </w:p>
          <w:p w14:paraId="486487AF" w14:textId="77777777" w:rsidR="00DE23C2" w:rsidRDefault="00DE23C2" w:rsidP="00DE23C2">
            <w:pPr>
              <w:rPr>
                <w:rFonts w:cstheme="minorHAnsi"/>
                <w:sz w:val="20"/>
                <w:szCs w:val="20"/>
              </w:rPr>
            </w:pPr>
          </w:p>
          <w:p w14:paraId="57B10C28" w14:textId="3E2C2F6D" w:rsidR="00DE23C2" w:rsidRPr="005D275C" w:rsidRDefault="00DE23C2" w:rsidP="00DE23C2">
            <w:pPr>
              <w:rPr>
                <w:rFonts w:cstheme="minorHAnsi"/>
                <w:sz w:val="20"/>
                <w:szCs w:val="20"/>
              </w:rPr>
            </w:pPr>
            <w:r w:rsidRPr="005D275C">
              <w:rPr>
                <w:rFonts w:cstheme="minorHAnsi"/>
                <w:sz w:val="20"/>
                <w:szCs w:val="20"/>
              </w:rPr>
              <w:t>2018</w:t>
            </w:r>
          </w:p>
          <w:p w14:paraId="0C63E006" w14:textId="242F355A" w:rsidR="00DE23C2" w:rsidRPr="005D275C" w:rsidRDefault="00DE23C2" w:rsidP="00DE23C2">
            <w:pPr>
              <w:pStyle w:val="ListParagraph"/>
              <w:numPr>
                <w:ilvl w:val="0"/>
                <w:numId w:val="33"/>
              </w:numPr>
              <w:rPr>
                <w:rFonts w:cstheme="minorHAnsi"/>
                <w:sz w:val="20"/>
                <w:szCs w:val="20"/>
              </w:rPr>
            </w:pPr>
            <w:r w:rsidRPr="005D275C">
              <w:rPr>
                <w:rFonts w:cstheme="minorHAnsi"/>
                <w:sz w:val="20"/>
                <w:szCs w:val="20"/>
              </w:rPr>
              <w:t>NEPC By-Laws and SOP endorsed.</w:t>
            </w:r>
          </w:p>
          <w:p w14:paraId="6E95EBDE" w14:textId="2229C0BE" w:rsidR="00DE23C2" w:rsidRPr="005D275C" w:rsidRDefault="00DE23C2" w:rsidP="00DE23C2">
            <w:pPr>
              <w:pStyle w:val="ListParagraph"/>
              <w:numPr>
                <w:ilvl w:val="0"/>
                <w:numId w:val="33"/>
              </w:numPr>
              <w:rPr>
                <w:rFonts w:asciiTheme="minorHAnsi" w:hAnsiTheme="minorHAnsi" w:cstheme="minorHAnsi"/>
                <w:sz w:val="20"/>
                <w:szCs w:val="20"/>
              </w:rPr>
            </w:pPr>
            <w:r w:rsidRPr="005D275C">
              <w:rPr>
                <w:rFonts w:asciiTheme="minorHAnsi" w:hAnsiTheme="minorHAnsi" w:cstheme="minorHAnsi"/>
                <w:sz w:val="20"/>
                <w:szCs w:val="20"/>
              </w:rPr>
              <w:t>NEPC is a member of the GEF 6 Planning Board Cmte</w:t>
            </w:r>
          </w:p>
          <w:p w14:paraId="6B1E95E5" w14:textId="77777777" w:rsidR="000725DE" w:rsidRPr="005D275C" w:rsidRDefault="00DE23C2" w:rsidP="00DE23C2">
            <w:pPr>
              <w:pStyle w:val="ListParagraph"/>
              <w:numPr>
                <w:ilvl w:val="0"/>
                <w:numId w:val="33"/>
              </w:numPr>
              <w:rPr>
                <w:rFonts w:asciiTheme="minorHAnsi" w:hAnsiTheme="minorHAnsi" w:cstheme="minorHAnsi"/>
                <w:sz w:val="20"/>
                <w:szCs w:val="20"/>
              </w:rPr>
            </w:pPr>
            <w:r w:rsidRPr="005D275C">
              <w:rPr>
                <w:rFonts w:asciiTheme="minorHAnsi" w:hAnsiTheme="minorHAnsi" w:cstheme="minorHAnsi"/>
                <w:sz w:val="20"/>
                <w:szCs w:val="20"/>
              </w:rPr>
              <w:t>NEPC is mandated to review grant proposals to ensure they meet national priorities and are clearly linked with various sector</w:t>
            </w:r>
          </w:p>
          <w:p w14:paraId="36D3FF3B" w14:textId="4634D2D2" w:rsidR="00DE23C2" w:rsidRPr="005D275C" w:rsidRDefault="000725DE" w:rsidP="00DE23C2">
            <w:pPr>
              <w:pStyle w:val="ListParagraph"/>
              <w:numPr>
                <w:ilvl w:val="0"/>
                <w:numId w:val="33"/>
              </w:numPr>
              <w:rPr>
                <w:rFonts w:asciiTheme="minorHAnsi" w:hAnsiTheme="minorHAnsi" w:cstheme="minorHAnsi"/>
                <w:sz w:val="20"/>
                <w:szCs w:val="20"/>
              </w:rPr>
            </w:pPr>
            <w:r w:rsidRPr="005D275C">
              <w:rPr>
                <w:rFonts w:asciiTheme="minorHAnsi" w:hAnsiTheme="minorHAnsi" w:cstheme="minorHAnsi"/>
                <w:sz w:val="20"/>
                <w:szCs w:val="20"/>
              </w:rPr>
              <w:t xml:space="preserve">NEPC mini-retreat held in November to review and refresh members of byaws and SOP, to conduct self-evaluation and </w:t>
            </w:r>
            <w:r w:rsidR="00DE23C2" w:rsidRPr="005D275C">
              <w:rPr>
                <w:rFonts w:asciiTheme="minorHAnsi" w:hAnsiTheme="minorHAnsi" w:cstheme="minorHAnsi"/>
                <w:sz w:val="20"/>
                <w:szCs w:val="20"/>
              </w:rPr>
              <w:t xml:space="preserve"> </w:t>
            </w:r>
            <w:r w:rsidRPr="005D275C">
              <w:rPr>
                <w:rFonts w:asciiTheme="minorHAnsi" w:hAnsiTheme="minorHAnsi" w:cstheme="minorHAnsi"/>
                <w:sz w:val="20"/>
                <w:szCs w:val="20"/>
              </w:rPr>
              <w:t>Secretariat evaluation, plus draft 2019 work plan (1</w:t>
            </w:r>
            <w:r w:rsidRPr="005D275C">
              <w:rPr>
                <w:rFonts w:asciiTheme="minorHAnsi" w:hAnsiTheme="minorHAnsi" w:cstheme="minorHAnsi"/>
                <w:sz w:val="20"/>
                <w:szCs w:val="20"/>
                <w:vertAlign w:val="superscript"/>
              </w:rPr>
              <w:t>st</w:t>
            </w:r>
            <w:r w:rsidRPr="005D275C">
              <w:rPr>
                <w:rFonts w:asciiTheme="minorHAnsi" w:hAnsiTheme="minorHAnsi" w:cstheme="minorHAnsi"/>
                <w:sz w:val="20"/>
                <w:szCs w:val="20"/>
              </w:rPr>
              <w:t xml:space="preserve"> NEPC work plan)</w:t>
            </w:r>
          </w:p>
          <w:p w14:paraId="2634B3EC" w14:textId="7388A87D" w:rsidR="000725DE" w:rsidRPr="005D275C" w:rsidRDefault="000725DE" w:rsidP="00DE23C2">
            <w:pPr>
              <w:pStyle w:val="ListParagraph"/>
              <w:numPr>
                <w:ilvl w:val="0"/>
                <w:numId w:val="33"/>
              </w:numPr>
              <w:rPr>
                <w:rFonts w:asciiTheme="minorHAnsi" w:hAnsiTheme="minorHAnsi" w:cstheme="minorHAnsi"/>
                <w:sz w:val="20"/>
                <w:szCs w:val="20"/>
              </w:rPr>
            </w:pPr>
            <w:r w:rsidRPr="005D275C">
              <w:rPr>
                <w:rFonts w:asciiTheme="minorHAnsi" w:hAnsiTheme="minorHAnsi" w:cstheme="minorHAnsi"/>
                <w:sz w:val="20"/>
                <w:szCs w:val="20"/>
              </w:rPr>
              <w:t>Initiated planning for upcoming Bureau of Budget &amp; Planning team-building retreat.</w:t>
            </w:r>
          </w:p>
          <w:p w14:paraId="68B411F4" w14:textId="788E004B" w:rsidR="00A0380E" w:rsidRPr="00C94DD6" w:rsidRDefault="00A0380E" w:rsidP="00A0380E">
            <w:pPr>
              <w:pStyle w:val="ListParagraph"/>
              <w:rPr>
                <w:rFonts w:asciiTheme="minorHAnsi" w:hAnsiTheme="minorHAnsi" w:cstheme="minorHAnsi"/>
                <w:sz w:val="20"/>
                <w:szCs w:val="20"/>
              </w:rPr>
            </w:pPr>
          </w:p>
        </w:tc>
      </w:tr>
    </w:tbl>
    <w:p w14:paraId="299A1A61" w14:textId="4EE73C8D" w:rsidR="00226AB6" w:rsidRDefault="00226AB6" w:rsidP="004503DA">
      <w:pPr>
        <w:sectPr w:rsidR="00226AB6" w:rsidSect="00065F2C">
          <w:pgSz w:w="15840" w:h="12240" w:orient="landscape"/>
          <w:pgMar w:top="720" w:right="720" w:bottom="720" w:left="720" w:header="720" w:footer="720" w:gutter="0"/>
          <w:cols w:space="720"/>
          <w:docGrid w:linePitch="360"/>
        </w:sectPr>
      </w:pPr>
    </w:p>
    <w:p w14:paraId="17F2C592" w14:textId="77777777" w:rsidR="001D121F" w:rsidRPr="0084003D" w:rsidRDefault="468716C7" w:rsidP="468716C7">
      <w:pPr>
        <w:pStyle w:val="Heading1"/>
        <w:rPr>
          <w:b/>
          <w:bCs/>
          <w:color w:val="auto"/>
        </w:rPr>
      </w:pPr>
      <w:r w:rsidRPr="468716C7">
        <w:rPr>
          <w:b/>
          <w:bCs/>
          <w:color w:val="auto"/>
        </w:rPr>
        <w:lastRenderedPageBreak/>
        <w:t xml:space="preserve">III. </w:t>
      </w:r>
      <w:r w:rsidRPr="0084003D">
        <w:rPr>
          <w:b/>
          <w:bCs/>
          <w:color w:val="auto"/>
        </w:rPr>
        <w:t>Project Implementation Challenges</w:t>
      </w:r>
    </w:p>
    <w:p w14:paraId="1DC9FE36" w14:textId="77777777" w:rsidR="00B85166" w:rsidRPr="0084003D"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84003D">
        <w:rPr>
          <w:i/>
          <w:iCs/>
          <w:sz w:val="18"/>
          <w:szCs w:val="18"/>
          <w:lang w:val="en-GB"/>
        </w:rPr>
        <w:t>Please identify and analyse project critical risks and project issues that:</w:t>
      </w:r>
    </w:p>
    <w:p w14:paraId="692A2B04" w14:textId="77777777" w:rsidR="00B85166" w:rsidRPr="00454F2F"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454F2F">
        <w:rPr>
          <w:i/>
          <w:iCs/>
          <w:sz w:val="18"/>
          <w:szCs w:val="18"/>
          <w:lang w:val="en-GB"/>
        </w:rPr>
        <w:t xml:space="preserve">1) had an impact on project deliverables (quality, schedule) during the reporting period, or </w:t>
      </w:r>
    </w:p>
    <w:p w14:paraId="30CD9FB9" w14:textId="73B43F03" w:rsidR="0015080D"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454F2F">
        <w:rPr>
          <w:i/>
          <w:iCs/>
          <w:sz w:val="18"/>
          <w:szCs w:val="18"/>
          <w:lang w:val="en-GB"/>
        </w:rPr>
        <w:t>2) were newly identified during the reporting period and are being addressed by the project (in the case of risks, describe project prosed means to mitigate their effects or decrease the likelihood of impact in the future, and in the case of issues, how to resolve them).</w:t>
      </w:r>
      <w:r w:rsidRPr="468716C7">
        <w:rPr>
          <w:i/>
          <w:iCs/>
          <w:sz w:val="18"/>
          <w:szCs w:val="18"/>
          <w:lang w:val="en-GB"/>
        </w:rPr>
        <w:t xml:space="preserve">   </w:t>
      </w:r>
    </w:p>
    <w:p w14:paraId="029FA1FA" w14:textId="006E75CE" w:rsidR="0097701F" w:rsidRPr="00C94DD6" w:rsidRDefault="0097701F" w:rsidP="00C94DD6">
      <w:pPr>
        <w:numPr>
          <w:ilvl w:val="0"/>
          <w:numId w:val="16"/>
        </w:numPr>
        <w:spacing w:before="100" w:beforeAutospacing="1" w:after="100" w:afterAutospacing="1" w:line="240" w:lineRule="auto"/>
        <w:ind w:left="138"/>
        <w:jc w:val="both"/>
        <w:rPr>
          <w:rFonts w:eastAsia="Times New Roman" w:cstheme="minorHAnsi"/>
          <w:color w:val="000000"/>
          <w:sz w:val="20"/>
          <w:szCs w:val="20"/>
        </w:rPr>
      </w:pPr>
      <w:r w:rsidRPr="00C94DD6">
        <w:rPr>
          <w:rFonts w:eastAsia="Times New Roman" w:cstheme="minorHAnsi"/>
          <w:color w:val="000000"/>
          <w:sz w:val="20"/>
          <w:szCs w:val="20"/>
        </w:rPr>
        <w:t>Delays in project start (PMU creation, hiring PM) – PMU was initially going to be OERC (Office of Environmental Response and Coordination) in the Office of the President, but it was dismantled coordination duties were picked up by a newly established NEPC (National Environmental Protection Council) Unit, in Ministry of Finance.  Several factors related to the new gov’t structure contributed to the delayed PMU creation:</w:t>
      </w:r>
    </w:p>
    <w:p w14:paraId="4115ADAA" w14:textId="77777777" w:rsidR="0097701F" w:rsidRPr="00C94DD6" w:rsidRDefault="0097701F" w:rsidP="00C94DD6">
      <w:pPr>
        <w:pStyle w:val="ListParagraph"/>
        <w:numPr>
          <w:ilvl w:val="0"/>
          <w:numId w:val="17"/>
        </w:numPr>
        <w:spacing w:before="100" w:beforeAutospacing="1" w:after="100" w:afterAutospacing="1"/>
        <w:contextualSpacing/>
        <w:jc w:val="both"/>
        <w:rPr>
          <w:rFonts w:asciiTheme="minorHAnsi" w:eastAsia="Times New Roman" w:hAnsiTheme="minorHAnsi" w:cstheme="minorHAnsi"/>
          <w:color w:val="000000"/>
          <w:sz w:val="20"/>
          <w:szCs w:val="20"/>
        </w:rPr>
      </w:pPr>
      <w:r w:rsidRPr="00C94DD6">
        <w:rPr>
          <w:rFonts w:asciiTheme="minorHAnsi" w:eastAsia="Times New Roman" w:hAnsiTheme="minorHAnsi" w:cstheme="minorHAnsi"/>
          <w:color w:val="000000"/>
          <w:sz w:val="20"/>
          <w:szCs w:val="20"/>
        </w:rPr>
        <w:t>Transition period of delegating OERC duties to other agencies.  Despite the new organizational structure’s endorsement in 2015, the NEPC Unit was not fully operationalized for several months during which time the two PMU personnel were still involved with former OERC duties.</w:t>
      </w:r>
    </w:p>
    <w:p w14:paraId="3125EBF8" w14:textId="77777777" w:rsidR="00740B00" w:rsidRPr="00C94DD6" w:rsidRDefault="0097701F" w:rsidP="00C94DD6">
      <w:pPr>
        <w:pStyle w:val="ListParagraph"/>
        <w:numPr>
          <w:ilvl w:val="0"/>
          <w:numId w:val="17"/>
        </w:numPr>
        <w:spacing w:before="100" w:beforeAutospacing="1" w:after="100" w:afterAutospacing="1"/>
        <w:contextualSpacing/>
        <w:jc w:val="both"/>
        <w:rPr>
          <w:rFonts w:asciiTheme="minorHAnsi" w:eastAsia="Times New Roman" w:hAnsiTheme="minorHAnsi" w:cstheme="minorHAnsi"/>
          <w:color w:val="000000"/>
          <w:sz w:val="20"/>
          <w:szCs w:val="20"/>
        </w:rPr>
      </w:pPr>
      <w:r w:rsidRPr="00C94DD6">
        <w:rPr>
          <w:rFonts w:asciiTheme="minorHAnsi" w:eastAsia="Times New Roman" w:hAnsiTheme="minorHAnsi" w:cstheme="minorHAnsi"/>
          <w:color w:val="000000"/>
          <w:sz w:val="20"/>
          <w:szCs w:val="20"/>
        </w:rPr>
        <w:t>Transition period of the Bureau of Budget and Planning to adjust to the new organizational structure, which increased the size of its personnel by almost 100%, along with many additional new responsibilities (e.g., national environmental coordination, national GIS management and project management, which includes small-scale community based stakeholders.</w:t>
      </w:r>
    </w:p>
    <w:p w14:paraId="28228357" w14:textId="77777777" w:rsidR="00740B00" w:rsidRPr="00C94DD6" w:rsidRDefault="00740B00" w:rsidP="00C94DD6">
      <w:pPr>
        <w:pStyle w:val="ListParagraph"/>
        <w:spacing w:before="100" w:beforeAutospacing="1" w:after="100" w:afterAutospacing="1"/>
        <w:ind w:left="498"/>
        <w:contextualSpacing/>
        <w:jc w:val="both"/>
        <w:rPr>
          <w:rFonts w:asciiTheme="minorHAnsi" w:eastAsia="Times New Roman" w:hAnsiTheme="minorHAnsi" w:cstheme="minorHAnsi"/>
          <w:color w:val="000000"/>
          <w:sz w:val="20"/>
          <w:szCs w:val="20"/>
        </w:rPr>
      </w:pPr>
    </w:p>
    <w:p w14:paraId="213E55FA" w14:textId="16DA657C" w:rsidR="00740B00" w:rsidRPr="00C94DD6" w:rsidRDefault="00740B00" w:rsidP="00C94DD6">
      <w:pPr>
        <w:pStyle w:val="ListParagraph"/>
        <w:numPr>
          <w:ilvl w:val="0"/>
          <w:numId w:val="4"/>
        </w:numPr>
        <w:spacing w:before="100" w:beforeAutospacing="1" w:after="100" w:afterAutospacing="1"/>
        <w:ind w:left="180"/>
        <w:contextualSpacing/>
        <w:jc w:val="both"/>
        <w:rPr>
          <w:rFonts w:asciiTheme="minorHAnsi" w:eastAsia="Times New Roman" w:hAnsiTheme="minorHAnsi" w:cstheme="minorHAnsi"/>
          <w:color w:val="000000"/>
          <w:sz w:val="20"/>
          <w:szCs w:val="20"/>
        </w:rPr>
      </w:pPr>
      <w:r w:rsidRPr="00C94DD6">
        <w:rPr>
          <w:rFonts w:asciiTheme="minorHAnsi" w:eastAsia="Times New Roman" w:hAnsiTheme="minorHAnsi" w:cstheme="minorHAnsi"/>
          <w:color w:val="000000"/>
          <w:sz w:val="20"/>
          <w:szCs w:val="20"/>
        </w:rPr>
        <w:t>Delays in project implementation</w:t>
      </w:r>
    </w:p>
    <w:p w14:paraId="6F752D50" w14:textId="1B8C95B4" w:rsidR="00740B00" w:rsidRPr="00B02538" w:rsidRDefault="00740B00" w:rsidP="00C94DD6">
      <w:pPr>
        <w:spacing w:before="100" w:beforeAutospacing="1" w:after="100" w:afterAutospacing="1" w:line="240" w:lineRule="auto"/>
        <w:jc w:val="both"/>
        <w:rPr>
          <w:rFonts w:eastAsia="Times New Roman" w:cstheme="minorHAnsi"/>
          <w:color w:val="000000"/>
          <w:sz w:val="20"/>
          <w:szCs w:val="20"/>
        </w:rPr>
      </w:pPr>
      <w:r w:rsidRPr="00C94DD6">
        <w:rPr>
          <w:rFonts w:eastAsia="Times New Roman" w:cstheme="minorHAnsi"/>
          <w:color w:val="000000"/>
          <w:sz w:val="20"/>
          <w:szCs w:val="20"/>
        </w:rPr>
        <w:t>Sustainable Development Goals (SDGs)</w:t>
      </w:r>
      <w:r w:rsidR="00945BE2" w:rsidRPr="00C94DD6">
        <w:rPr>
          <w:rFonts w:eastAsia="Times New Roman" w:cstheme="minorHAnsi"/>
          <w:color w:val="000000"/>
          <w:sz w:val="20"/>
          <w:szCs w:val="20"/>
        </w:rPr>
        <w:t xml:space="preserve"> </w:t>
      </w:r>
      <w:r w:rsidRPr="00C94DD6">
        <w:rPr>
          <w:rFonts w:eastAsia="Times New Roman" w:cstheme="minorHAnsi"/>
          <w:color w:val="000000"/>
          <w:sz w:val="20"/>
          <w:szCs w:val="20"/>
        </w:rPr>
        <w:t>and the PMU – around the time of this transition (early 2016), Palau also initiated its SDG localization process, which was led by the Bureau of Budget and Planning.  This task was delegated to the CB2 PMU team, for which its demands also contributed to some delays in CB2 implementation efforts.  We did not expect the SDG localization approach to last until 2017.  We have just completed our 2</w:t>
      </w:r>
      <w:r w:rsidRPr="00C94DD6">
        <w:rPr>
          <w:rFonts w:eastAsia="Times New Roman" w:cstheme="minorHAnsi"/>
          <w:color w:val="000000"/>
          <w:sz w:val="20"/>
          <w:szCs w:val="20"/>
          <w:vertAlign w:val="superscript"/>
        </w:rPr>
        <w:t>nd</w:t>
      </w:r>
      <w:r w:rsidRPr="00C94DD6">
        <w:rPr>
          <w:rFonts w:eastAsia="Times New Roman" w:cstheme="minorHAnsi"/>
          <w:color w:val="000000"/>
          <w:sz w:val="20"/>
          <w:szCs w:val="20"/>
        </w:rPr>
        <w:t xml:space="preserve"> SDG National </w:t>
      </w:r>
      <w:r w:rsidRPr="00B02538">
        <w:rPr>
          <w:rFonts w:eastAsia="Times New Roman" w:cstheme="minorHAnsi"/>
          <w:color w:val="000000"/>
          <w:sz w:val="20"/>
          <w:szCs w:val="20"/>
        </w:rPr>
        <w:t>Consultati</w:t>
      </w:r>
      <w:r w:rsidR="00945BE2" w:rsidRPr="00B02538">
        <w:rPr>
          <w:rFonts w:eastAsia="Times New Roman" w:cstheme="minorHAnsi"/>
          <w:color w:val="000000"/>
          <w:sz w:val="20"/>
          <w:szCs w:val="20"/>
        </w:rPr>
        <w:t>on at the end of June this year and now working on the 1</w:t>
      </w:r>
      <w:r w:rsidR="00945BE2" w:rsidRPr="00B02538">
        <w:rPr>
          <w:rFonts w:eastAsia="Times New Roman" w:cstheme="minorHAnsi"/>
          <w:color w:val="000000"/>
          <w:sz w:val="20"/>
          <w:szCs w:val="20"/>
          <w:vertAlign w:val="superscript"/>
        </w:rPr>
        <w:t>st</w:t>
      </w:r>
      <w:r w:rsidR="00945BE2" w:rsidRPr="00B02538">
        <w:rPr>
          <w:rFonts w:eastAsia="Times New Roman" w:cstheme="minorHAnsi"/>
          <w:color w:val="000000"/>
          <w:sz w:val="20"/>
          <w:szCs w:val="20"/>
        </w:rPr>
        <w:t xml:space="preserve"> SDG National Report.</w:t>
      </w:r>
    </w:p>
    <w:p w14:paraId="3AE03536" w14:textId="53ADA33E" w:rsidR="00B942DC" w:rsidRPr="00B02538" w:rsidRDefault="468716C7" w:rsidP="468716C7">
      <w:pPr>
        <w:rPr>
          <w:b/>
          <w:bCs/>
          <w:i/>
          <w:iCs/>
          <w:u w:val="single"/>
        </w:rPr>
      </w:pPr>
      <w:r w:rsidRPr="00B02538">
        <w:rPr>
          <w:b/>
          <w:bCs/>
          <w:i/>
          <w:iCs/>
          <w:u w:val="single"/>
        </w:rPr>
        <w:t>a. Updated project risks and actions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1463"/>
        <w:gridCol w:w="4387"/>
      </w:tblGrid>
      <w:tr w:rsidR="00B942DC" w:rsidRPr="00B02538" w14:paraId="562E7F2F" w14:textId="77777777" w:rsidTr="468716C7">
        <w:tc>
          <w:tcPr>
            <w:tcW w:w="2250" w:type="dxa"/>
            <w:shd w:val="clear" w:color="auto" w:fill="D9D9D9" w:themeFill="background1" w:themeFillShade="D9"/>
          </w:tcPr>
          <w:p w14:paraId="66102C54" w14:textId="4D2B675B" w:rsidR="00B942DC" w:rsidRPr="00B02538" w:rsidRDefault="468716C7" w:rsidP="468716C7">
            <w:pPr>
              <w:rPr>
                <w:rFonts w:cs="Arial"/>
                <w:b/>
                <w:bCs/>
                <w:sz w:val="18"/>
                <w:szCs w:val="18"/>
              </w:rPr>
            </w:pPr>
            <w:r w:rsidRPr="00B02538">
              <w:rPr>
                <w:rFonts w:cs="Arial"/>
                <w:b/>
                <w:bCs/>
                <w:sz w:val="18"/>
                <w:szCs w:val="18"/>
              </w:rPr>
              <w:t>Project Risk Description</w:t>
            </w:r>
          </w:p>
        </w:tc>
        <w:tc>
          <w:tcPr>
            <w:tcW w:w="1440" w:type="dxa"/>
            <w:shd w:val="clear" w:color="auto" w:fill="D9D9D9" w:themeFill="background1" w:themeFillShade="D9"/>
          </w:tcPr>
          <w:p w14:paraId="1581775F" w14:textId="77777777" w:rsidR="00B942DC" w:rsidRPr="00B02538" w:rsidRDefault="468716C7" w:rsidP="468716C7">
            <w:pPr>
              <w:rPr>
                <w:rFonts w:cs="Arial"/>
                <w:b/>
                <w:bCs/>
                <w:sz w:val="18"/>
                <w:szCs w:val="18"/>
              </w:rPr>
            </w:pPr>
            <w:r w:rsidRPr="00B02538">
              <w:rPr>
                <w:rFonts w:cs="Arial"/>
                <w:b/>
                <w:bCs/>
                <w:sz w:val="18"/>
                <w:szCs w:val="18"/>
              </w:rPr>
              <w:t>Type</w:t>
            </w:r>
          </w:p>
        </w:tc>
        <w:tc>
          <w:tcPr>
            <w:tcW w:w="1463" w:type="dxa"/>
            <w:shd w:val="clear" w:color="auto" w:fill="D9D9D9" w:themeFill="background1" w:themeFillShade="D9"/>
          </w:tcPr>
          <w:p w14:paraId="22CD3DB9" w14:textId="77777777" w:rsidR="00B942DC" w:rsidRPr="00B02538" w:rsidRDefault="468716C7" w:rsidP="468716C7">
            <w:pPr>
              <w:rPr>
                <w:rFonts w:cs="Arial"/>
                <w:b/>
                <w:bCs/>
                <w:sz w:val="18"/>
                <w:szCs w:val="18"/>
              </w:rPr>
            </w:pPr>
            <w:r w:rsidRPr="00B02538">
              <w:rPr>
                <w:rFonts w:cs="Arial"/>
                <w:b/>
                <w:bCs/>
                <w:sz w:val="18"/>
                <w:szCs w:val="18"/>
              </w:rPr>
              <w:t>Date identified</w:t>
            </w:r>
          </w:p>
        </w:tc>
        <w:tc>
          <w:tcPr>
            <w:tcW w:w="4387" w:type="dxa"/>
            <w:shd w:val="clear" w:color="auto" w:fill="D9D9D9" w:themeFill="background1" w:themeFillShade="D9"/>
          </w:tcPr>
          <w:p w14:paraId="36C59D40" w14:textId="77777777" w:rsidR="00B942DC" w:rsidRPr="00B02538" w:rsidRDefault="468716C7" w:rsidP="468716C7">
            <w:pPr>
              <w:rPr>
                <w:rFonts w:cs="Arial"/>
                <w:b/>
                <w:bCs/>
                <w:sz w:val="18"/>
                <w:szCs w:val="18"/>
              </w:rPr>
            </w:pPr>
            <w:r w:rsidRPr="00B02538">
              <w:rPr>
                <w:rFonts w:cs="Arial"/>
                <w:b/>
                <w:bCs/>
                <w:sz w:val="18"/>
                <w:szCs w:val="18"/>
              </w:rPr>
              <w:t>Mitigation Measures</w:t>
            </w:r>
          </w:p>
        </w:tc>
      </w:tr>
      <w:tr w:rsidR="00B942DC" w:rsidRPr="008644B7" w14:paraId="006EA1AC" w14:textId="77777777" w:rsidTr="00293371">
        <w:trPr>
          <w:trHeight w:val="440"/>
        </w:trPr>
        <w:tc>
          <w:tcPr>
            <w:tcW w:w="2250" w:type="dxa"/>
          </w:tcPr>
          <w:p w14:paraId="687E7191" w14:textId="39F0E5D2" w:rsidR="00B942DC" w:rsidRPr="008644B7" w:rsidRDefault="00293371" w:rsidP="00095CFB">
            <w:pPr>
              <w:spacing w:after="0"/>
              <w:rPr>
                <w:rFonts w:cs="Arial"/>
                <w:i/>
                <w:sz w:val="18"/>
                <w:szCs w:val="18"/>
              </w:rPr>
            </w:pPr>
            <w:r w:rsidRPr="00B02538">
              <w:rPr>
                <w:rFonts w:cs="Arial"/>
                <w:i/>
                <w:sz w:val="18"/>
                <w:szCs w:val="18"/>
              </w:rPr>
              <w:t>No critical risks</w:t>
            </w:r>
            <w:bookmarkStart w:id="0" w:name="_GoBack"/>
            <w:bookmarkEnd w:id="0"/>
          </w:p>
        </w:tc>
        <w:tc>
          <w:tcPr>
            <w:tcW w:w="1440" w:type="dxa"/>
          </w:tcPr>
          <w:p w14:paraId="21DC85E2" w14:textId="77777777" w:rsidR="00B942DC" w:rsidRPr="008644B7" w:rsidRDefault="00B942DC" w:rsidP="00945BE2">
            <w:pPr>
              <w:spacing w:after="0"/>
              <w:rPr>
                <w:rFonts w:cs="Arial"/>
                <w:i/>
                <w:sz w:val="18"/>
                <w:szCs w:val="18"/>
              </w:rPr>
            </w:pPr>
          </w:p>
        </w:tc>
        <w:tc>
          <w:tcPr>
            <w:tcW w:w="1463" w:type="dxa"/>
          </w:tcPr>
          <w:p w14:paraId="2408F516" w14:textId="23A3BCAD" w:rsidR="00B942DC" w:rsidRPr="008644B7" w:rsidRDefault="00B942DC" w:rsidP="00945BE2">
            <w:pPr>
              <w:spacing w:after="0"/>
              <w:rPr>
                <w:rFonts w:cs="Arial"/>
                <w:sz w:val="18"/>
                <w:szCs w:val="18"/>
              </w:rPr>
            </w:pPr>
          </w:p>
        </w:tc>
        <w:tc>
          <w:tcPr>
            <w:tcW w:w="4387" w:type="dxa"/>
          </w:tcPr>
          <w:p w14:paraId="59FAAA93" w14:textId="5825225A" w:rsidR="00A02973" w:rsidRPr="0084003D" w:rsidRDefault="00A02973" w:rsidP="003A2088">
            <w:pPr>
              <w:spacing w:after="0"/>
              <w:rPr>
                <w:rFonts w:cs="Arial"/>
                <w:sz w:val="18"/>
                <w:szCs w:val="18"/>
              </w:rPr>
            </w:pPr>
          </w:p>
        </w:tc>
      </w:tr>
    </w:tbl>
    <w:p w14:paraId="5931C99B" w14:textId="475C5B70" w:rsidR="00B942DC" w:rsidRPr="0084003D" w:rsidRDefault="00B942DC" w:rsidP="004503DA"/>
    <w:p w14:paraId="4B414119" w14:textId="77777777" w:rsidR="00B942DC" w:rsidRPr="0084003D" w:rsidRDefault="468716C7" w:rsidP="468716C7">
      <w:pPr>
        <w:rPr>
          <w:b/>
          <w:bCs/>
          <w:i/>
          <w:iCs/>
          <w:u w:val="single"/>
        </w:rPr>
      </w:pPr>
      <w:r w:rsidRPr="0084003D">
        <w:rPr>
          <w:b/>
          <w:bCs/>
          <w:i/>
          <w:iCs/>
          <w:u w:val="single"/>
        </w:rPr>
        <w:t>b. Updated project issues and actions</w:t>
      </w:r>
    </w:p>
    <w:p w14:paraId="5F823CC8" w14:textId="2C5B726B" w:rsidR="00B942DC" w:rsidRPr="0084003D" w:rsidRDefault="468716C7" w:rsidP="468716C7">
      <w:pPr>
        <w:rPr>
          <w:b/>
          <w:bCs/>
          <w:i/>
          <w:iCs/>
          <w:u w:val="single"/>
        </w:rPr>
      </w:pPr>
      <w:r w:rsidRPr="0084003D">
        <w:rPr>
          <w:i/>
          <w:iCs/>
          <w:sz w:val="18"/>
          <w:szCs w:val="18"/>
        </w:rPr>
        <w:t>Explain the main implementation issues encountered in the course of implementation during the year and the proposed actions to solve the issues.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210"/>
      </w:tblGrid>
      <w:tr w:rsidR="00D712ED" w:rsidRPr="0084003D" w14:paraId="24AC70A7" w14:textId="77777777" w:rsidTr="00502C56">
        <w:tc>
          <w:tcPr>
            <w:tcW w:w="3330" w:type="dxa"/>
            <w:shd w:val="clear" w:color="auto" w:fill="D9D9D9" w:themeFill="background1" w:themeFillShade="D9"/>
          </w:tcPr>
          <w:p w14:paraId="70AE9922" w14:textId="57E9D18E" w:rsidR="00D712ED" w:rsidRPr="0084003D" w:rsidRDefault="468716C7" w:rsidP="468716C7">
            <w:pPr>
              <w:rPr>
                <w:rFonts w:cs="Arial"/>
                <w:b/>
                <w:bCs/>
                <w:sz w:val="18"/>
                <w:szCs w:val="18"/>
              </w:rPr>
            </w:pPr>
            <w:r w:rsidRPr="0084003D">
              <w:rPr>
                <w:rFonts w:cs="Arial"/>
                <w:b/>
                <w:bCs/>
                <w:sz w:val="18"/>
                <w:szCs w:val="18"/>
              </w:rPr>
              <w:t>Project Issue Description</w:t>
            </w:r>
          </w:p>
        </w:tc>
        <w:tc>
          <w:tcPr>
            <w:tcW w:w="6210" w:type="dxa"/>
            <w:shd w:val="clear" w:color="auto" w:fill="D9D9D9" w:themeFill="background1" w:themeFillShade="D9"/>
          </w:tcPr>
          <w:p w14:paraId="75359BF1" w14:textId="70B3A322" w:rsidR="00D712ED" w:rsidRPr="0084003D" w:rsidRDefault="468716C7" w:rsidP="468716C7">
            <w:pPr>
              <w:rPr>
                <w:rFonts w:cs="Arial"/>
                <w:b/>
                <w:bCs/>
                <w:sz w:val="18"/>
                <w:szCs w:val="18"/>
              </w:rPr>
            </w:pPr>
            <w:r w:rsidRPr="0084003D">
              <w:rPr>
                <w:rFonts w:cs="Arial"/>
                <w:b/>
                <w:bCs/>
                <w:sz w:val="18"/>
                <w:szCs w:val="18"/>
              </w:rPr>
              <w:t>Mitigation Measures, Actions Taken</w:t>
            </w:r>
          </w:p>
        </w:tc>
      </w:tr>
      <w:tr w:rsidR="00D712ED" w:rsidRPr="008644B7" w14:paraId="3E393FD0" w14:textId="77777777" w:rsidTr="00502C56">
        <w:trPr>
          <w:trHeight w:val="413"/>
        </w:trPr>
        <w:tc>
          <w:tcPr>
            <w:tcW w:w="3330" w:type="dxa"/>
          </w:tcPr>
          <w:p w14:paraId="4205C889" w14:textId="5199C409" w:rsidR="007E5F99" w:rsidRPr="0084003D" w:rsidRDefault="468716C7" w:rsidP="468716C7">
            <w:pPr>
              <w:spacing w:after="0"/>
              <w:rPr>
                <w:rFonts w:cs="Arial"/>
                <w:sz w:val="18"/>
                <w:szCs w:val="18"/>
              </w:rPr>
            </w:pPr>
            <w:r w:rsidRPr="0084003D">
              <w:rPr>
                <w:rFonts w:cs="Arial"/>
                <w:sz w:val="18"/>
                <w:szCs w:val="18"/>
              </w:rPr>
              <w:t>Enter a brief description of the risk</w:t>
            </w:r>
          </w:p>
        </w:tc>
        <w:tc>
          <w:tcPr>
            <w:tcW w:w="6210" w:type="dxa"/>
          </w:tcPr>
          <w:p w14:paraId="69174EDC" w14:textId="1B948BE8" w:rsidR="00D712ED" w:rsidRPr="008644B7" w:rsidRDefault="468716C7" w:rsidP="00502C56">
            <w:pPr>
              <w:spacing w:after="0"/>
              <w:rPr>
                <w:rFonts w:cs="Arial"/>
                <w:i/>
                <w:sz w:val="18"/>
                <w:szCs w:val="18"/>
              </w:rPr>
            </w:pPr>
            <w:r w:rsidRPr="0084003D">
              <w:rPr>
                <w:rFonts w:cs="Arial"/>
                <w:sz w:val="18"/>
                <w:szCs w:val="18"/>
              </w:rPr>
              <w:t>What actions will be taken to mitigate this risk</w:t>
            </w:r>
          </w:p>
        </w:tc>
      </w:tr>
      <w:tr w:rsidR="00D712ED" w:rsidRPr="008644B7" w14:paraId="433CDD80" w14:textId="77777777" w:rsidTr="00502C56">
        <w:tc>
          <w:tcPr>
            <w:tcW w:w="3330" w:type="dxa"/>
          </w:tcPr>
          <w:p w14:paraId="40C4EB7F" w14:textId="0AF25AA8" w:rsidR="00D712ED" w:rsidRPr="008644B7" w:rsidRDefault="00502C56" w:rsidP="00095CFB">
            <w:pPr>
              <w:rPr>
                <w:rFonts w:cs="Arial"/>
                <w:sz w:val="18"/>
                <w:szCs w:val="18"/>
              </w:rPr>
            </w:pPr>
            <w:r w:rsidRPr="00502C56">
              <w:rPr>
                <w:rFonts w:cs="Arial"/>
                <w:sz w:val="18"/>
                <w:szCs w:val="18"/>
              </w:rPr>
              <w:t xml:space="preserve">The main issue is just not enough people to do the work and not enough time for the few of us to carry them out.  </w:t>
            </w:r>
          </w:p>
        </w:tc>
        <w:tc>
          <w:tcPr>
            <w:tcW w:w="6210" w:type="dxa"/>
          </w:tcPr>
          <w:p w14:paraId="5D8B4758" w14:textId="6AB67C16" w:rsidR="00D712ED" w:rsidRPr="008644B7" w:rsidRDefault="00502C56" w:rsidP="00095CFB">
            <w:pPr>
              <w:rPr>
                <w:rFonts w:cs="Arial"/>
                <w:sz w:val="18"/>
                <w:szCs w:val="18"/>
              </w:rPr>
            </w:pPr>
            <w:r w:rsidRPr="00502C56">
              <w:rPr>
                <w:rFonts w:cs="Arial"/>
                <w:sz w:val="18"/>
                <w:szCs w:val="18"/>
              </w:rPr>
              <w:t xml:space="preserve">Need to discuss formal rearrangement of responsibilities for all the staff under the Bureau of Budget and Planning so that we will more freely work outside of our respective silos.  Presently, while we (different offices) are already helping each other out, it’s not as effective nor efficient as it could.  As long as there is still a way to further improve our collaboration and cooperation, we should explore this.  Discussions with other colleagues reveal that they are also in </w:t>
            </w:r>
            <w:r w:rsidRPr="00502C56">
              <w:rPr>
                <w:rFonts w:cs="Arial"/>
                <w:sz w:val="18"/>
                <w:szCs w:val="18"/>
              </w:rPr>
              <w:lastRenderedPageBreak/>
              <w:t>agreement with this idea, but we have yet to bring it up with our Director.  Hopefully we will before the end of October.</w:t>
            </w:r>
          </w:p>
        </w:tc>
      </w:tr>
      <w:tr w:rsidR="00293371" w:rsidRPr="008644B7" w14:paraId="4AFD4DCA" w14:textId="77777777" w:rsidTr="00502C56">
        <w:tc>
          <w:tcPr>
            <w:tcW w:w="3330" w:type="dxa"/>
          </w:tcPr>
          <w:p w14:paraId="77FC510C" w14:textId="77777777" w:rsidR="00293371" w:rsidRPr="008644B7" w:rsidRDefault="00293371" w:rsidP="00293371">
            <w:pPr>
              <w:spacing w:after="0"/>
              <w:rPr>
                <w:rFonts w:cs="Arial"/>
                <w:sz w:val="18"/>
                <w:szCs w:val="18"/>
              </w:rPr>
            </w:pPr>
            <w:r>
              <w:rPr>
                <w:rFonts w:cs="Arial"/>
                <w:sz w:val="18"/>
                <w:szCs w:val="18"/>
              </w:rPr>
              <w:lastRenderedPageBreak/>
              <w:t xml:space="preserve">The delayed implementation of this project will result in many incomplete activities by the project’s official end date.  The anticipated risks include insufficient gov’t funding to fully support remaining CB2 activities beyond this point.   </w:t>
            </w:r>
          </w:p>
          <w:p w14:paraId="25BE227C" w14:textId="77777777" w:rsidR="00293371" w:rsidRPr="008644B7" w:rsidRDefault="00293371" w:rsidP="00293371">
            <w:pPr>
              <w:spacing w:after="0"/>
              <w:rPr>
                <w:rFonts w:cs="Arial"/>
                <w:sz w:val="18"/>
                <w:szCs w:val="18"/>
              </w:rPr>
            </w:pPr>
          </w:p>
          <w:p w14:paraId="0A3DC2E5" w14:textId="77777777" w:rsidR="00293371" w:rsidRPr="008644B7" w:rsidRDefault="00293371" w:rsidP="00293371">
            <w:pPr>
              <w:spacing w:after="0"/>
              <w:rPr>
                <w:rFonts w:cs="Arial"/>
                <w:sz w:val="18"/>
                <w:szCs w:val="18"/>
              </w:rPr>
            </w:pPr>
          </w:p>
          <w:p w14:paraId="45D0732A" w14:textId="77777777" w:rsidR="00293371" w:rsidRPr="008644B7" w:rsidRDefault="00293371" w:rsidP="00293371">
            <w:pPr>
              <w:rPr>
                <w:rFonts w:cs="Arial"/>
                <w:sz w:val="18"/>
                <w:szCs w:val="18"/>
              </w:rPr>
            </w:pPr>
          </w:p>
        </w:tc>
        <w:tc>
          <w:tcPr>
            <w:tcW w:w="6210" w:type="dxa"/>
          </w:tcPr>
          <w:p w14:paraId="6FB36F92" w14:textId="77777777" w:rsidR="00293371" w:rsidRPr="008644B7" w:rsidRDefault="00293371" w:rsidP="00293371">
            <w:pPr>
              <w:spacing w:after="0"/>
              <w:rPr>
                <w:rFonts w:cs="Arial"/>
                <w:sz w:val="18"/>
                <w:szCs w:val="18"/>
              </w:rPr>
            </w:pPr>
            <w:r>
              <w:rPr>
                <w:rFonts w:cs="Arial"/>
                <w:sz w:val="18"/>
                <w:szCs w:val="18"/>
              </w:rPr>
              <w:t>IP requested 14 month no cost extension after the project was expected to get closed by 6 May 2018.</w:t>
            </w:r>
          </w:p>
          <w:p w14:paraId="51CC172B" w14:textId="77777777" w:rsidR="00293371" w:rsidRDefault="00293371" w:rsidP="00293371">
            <w:pPr>
              <w:spacing w:after="0"/>
              <w:rPr>
                <w:rFonts w:cs="Arial"/>
                <w:sz w:val="18"/>
                <w:szCs w:val="18"/>
              </w:rPr>
            </w:pPr>
            <w:r>
              <w:rPr>
                <w:rFonts w:cs="Arial"/>
                <w:sz w:val="18"/>
                <w:szCs w:val="18"/>
              </w:rPr>
              <w:t>After the RTA review, a maximum length of 18 months no-cost extension was granted to the project and it is expected to get operationally closed by 6 Nov 2019.</w:t>
            </w:r>
          </w:p>
          <w:p w14:paraId="68DEEB7F" w14:textId="1DA1B273" w:rsidR="00293371" w:rsidRPr="008644B7" w:rsidRDefault="00293371" w:rsidP="00293371">
            <w:pPr>
              <w:rPr>
                <w:rFonts w:cs="Arial"/>
                <w:sz w:val="18"/>
                <w:szCs w:val="18"/>
              </w:rPr>
            </w:pPr>
            <w:r>
              <w:rPr>
                <w:rFonts w:cs="Arial"/>
                <w:sz w:val="18"/>
                <w:szCs w:val="18"/>
              </w:rPr>
              <w:t>The Implementing Partner notes only one extension per project is allowed and will intensify the efforts and project management and execution roles to close the project in time. The workplan for the extended period is annexed to the attachments of this report and the progress will be closely monitored by UNDP CO to make sure any issues and risks of potential delays are promptly addressed. UNDP-GEF team will be kept informed accordingly and requested for support as deemed necessary.</w:t>
            </w:r>
          </w:p>
        </w:tc>
      </w:tr>
      <w:tr w:rsidR="00293371" w:rsidRPr="008644B7" w14:paraId="45C36574" w14:textId="77777777" w:rsidTr="00502C56">
        <w:tc>
          <w:tcPr>
            <w:tcW w:w="3330" w:type="dxa"/>
          </w:tcPr>
          <w:p w14:paraId="21EA6328" w14:textId="7E6A887B" w:rsidR="00293371" w:rsidRPr="008644B7" w:rsidRDefault="00293371" w:rsidP="00293371">
            <w:pPr>
              <w:rPr>
                <w:rFonts w:cs="Arial"/>
                <w:sz w:val="18"/>
                <w:szCs w:val="18"/>
              </w:rPr>
            </w:pPr>
            <w:r w:rsidRPr="0084003D">
              <w:rPr>
                <w:rFonts w:cs="Arial"/>
                <w:sz w:val="18"/>
                <w:szCs w:val="18"/>
              </w:rPr>
              <w:t>The transition to the new government structure placed a significant burden on the Bureau of Budget and Planning, Ministry of Finance, which inherited PALARIS from another ministry and created 3 new offices (i.e., Office of Climate Change [OCC], Office of Project Management [OPM] and NEPC-Unit).  Given that we’re all in this bureau, the NEPC staff (who are also the PMU team) are assisting the other offices with their work.</w:t>
            </w:r>
          </w:p>
        </w:tc>
        <w:tc>
          <w:tcPr>
            <w:tcW w:w="6210" w:type="dxa"/>
          </w:tcPr>
          <w:p w14:paraId="5DB18C07" w14:textId="77777777" w:rsidR="00293371" w:rsidRPr="0084003D" w:rsidRDefault="00293371" w:rsidP="00293371">
            <w:pPr>
              <w:rPr>
                <w:rFonts w:cs="Arial"/>
                <w:sz w:val="18"/>
                <w:szCs w:val="18"/>
              </w:rPr>
            </w:pPr>
            <w:r w:rsidRPr="0084003D">
              <w:rPr>
                <w:rFonts w:cs="Arial"/>
                <w:sz w:val="18"/>
                <w:szCs w:val="18"/>
              </w:rPr>
              <w:t>Given that we all need to help each other’s offices since we all share the common limited staff, actions that can be taken to reduce this risk will involve turning the risks into opportunities:</w:t>
            </w:r>
          </w:p>
          <w:p w14:paraId="7F55CC58" w14:textId="77777777" w:rsidR="00293371" w:rsidRPr="0084003D" w:rsidRDefault="00293371" w:rsidP="00293371">
            <w:pPr>
              <w:pStyle w:val="ListParagraph"/>
              <w:numPr>
                <w:ilvl w:val="1"/>
                <w:numId w:val="16"/>
              </w:numPr>
              <w:ind w:left="139" w:hanging="180"/>
              <w:rPr>
                <w:rFonts w:cs="Arial"/>
                <w:sz w:val="18"/>
                <w:szCs w:val="18"/>
              </w:rPr>
            </w:pPr>
            <w:r w:rsidRPr="0084003D">
              <w:rPr>
                <w:rFonts w:cs="Arial"/>
                <w:sz w:val="18"/>
                <w:szCs w:val="18"/>
              </w:rPr>
              <w:t>Incorporate the SDG implementation into the CB2 project to help streamline standardization of information management and reporting;</w:t>
            </w:r>
          </w:p>
          <w:p w14:paraId="198D4A13" w14:textId="77777777" w:rsidR="00293371" w:rsidRPr="0084003D" w:rsidRDefault="00293371" w:rsidP="00293371">
            <w:pPr>
              <w:pStyle w:val="ListParagraph"/>
              <w:numPr>
                <w:ilvl w:val="1"/>
                <w:numId w:val="16"/>
              </w:numPr>
              <w:ind w:left="139" w:hanging="180"/>
              <w:rPr>
                <w:rFonts w:cs="Arial"/>
                <w:sz w:val="18"/>
                <w:szCs w:val="18"/>
              </w:rPr>
            </w:pPr>
            <w:r w:rsidRPr="0084003D">
              <w:rPr>
                <w:rFonts w:cs="Arial"/>
                <w:sz w:val="18"/>
                <w:szCs w:val="18"/>
              </w:rPr>
              <w:t>Office of Climate Change serves as the UNFCCC Focal Point and leads the implementation of Palau’s Climate Change Policy – one of the cross-sectoral policies which often face similar challenges with implementing the SDGs.  In working with them, we will learn from each other how to better navigate these overlapping and sometimes conflicting national priorities.</w:t>
            </w:r>
          </w:p>
          <w:p w14:paraId="37EACCE6" w14:textId="5C5F895A" w:rsidR="00293371" w:rsidRPr="008644B7" w:rsidRDefault="00293371" w:rsidP="00293371">
            <w:pPr>
              <w:rPr>
                <w:rFonts w:cs="Arial"/>
                <w:sz w:val="18"/>
                <w:szCs w:val="18"/>
              </w:rPr>
            </w:pPr>
            <w:r w:rsidRPr="0084003D">
              <w:rPr>
                <w:rFonts w:cs="Arial"/>
                <w:sz w:val="18"/>
                <w:szCs w:val="18"/>
              </w:rPr>
              <w:t>Office of Project Management is currently leading the national effort to assess the financial landscape, which helps the SDG work to better identify and prioritize the  national priorities, at least those that are linked to the selected Core SDG Indicators, that are most in need of urgent government funding support, to be allocated through the national budgetary process.</w:t>
            </w:r>
          </w:p>
        </w:tc>
      </w:tr>
    </w:tbl>
    <w:p w14:paraId="109453A4" w14:textId="6783976D" w:rsidR="00454337" w:rsidRDefault="00454337" w:rsidP="004503DA"/>
    <w:p w14:paraId="122BC068" w14:textId="045B866B" w:rsidR="00DB7E27" w:rsidRPr="0084003D" w:rsidRDefault="468716C7" w:rsidP="468716C7">
      <w:pPr>
        <w:pStyle w:val="Heading1"/>
        <w:rPr>
          <w:b/>
          <w:bCs/>
          <w:color w:val="auto"/>
        </w:rPr>
      </w:pPr>
      <w:r w:rsidRPr="0084003D">
        <w:rPr>
          <w:b/>
          <w:bCs/>
          <w:color w:val="auto"/>
        </w:rPr>
        <w:t>IV. Annexes</w:t>
      </w:r>
    </w:p>
    <w:p w14:paraId="33810F2D" w14:textId="64530360" w:rsidR="00B43743" w:rsidRPr="0084003D" w:rsidRDefault="468716C7" w:rsidP="468716C7">
      <w:pPr>
        <w:rPr>
          <w:i/>
          <w:iCs/>
        </w:rPr>
      </w:pPr>
      <w:r w:rsidRPr="0084003D">
        <w:rPr>
          <w:i/>
          <w:iCs/>
        </w:rPr>
        <w:t>Meetings/workshops minutes/reports, Knowledge products, Lessons Learnt,</w:t>
      </w:r>
      <w:r w:rsidR="00A264FD" w:rsidRPr="0084003D">
        <w:rPr>
          <w:i/>
          <w:iCs/>
        </w:rPr>
        <w:t xml:space="preserve"> Gender analysis,</w:t>
      </w:r>
      <w:r w:rsidRPr="0084003D">
        <w:rPr>
          <w:i/>
          <w:iCs/>
        </w:rPr>
        <w:t xml:space="preserve"> etc.</w:t>
      </w:r>
    </w:p>
    <w:p w14:paraId="163023B9" w14:textId="5631B1EB" w:rsidR="009D0279" w:rsidRPr="0084003D" w:rsidRDefault="009D0279" w:rsidP="009D0279">
      <w:pPr>
        <w:pStyle w:val="ListParagraph"/>
        <w:numPr>
          <w:ilvl w:val="0"/>
          <w:numId w:val="31"/>
        </w:numPr>
        <w:rPr>
          <w:i/>
          <w:iCs/>
        </w:rPr>
      </w:pPr>
      <w:r w:rsidRPr="0084003D">
        <w:rPr>
          <w:i/>
          <w:iCs/>
        </w:rPr>
        <w:t>1</w:t>
      </w:r>
      <w:r w:rsidRPr="0084003D">
        <w:rPr>
          <w:i/>
          <w:iCs/>
          <w:vertAlign w:val="superscript"/>
        </w:rPr>
        <w:t>st</w:t>
      </w:r>
      <w:r w:rsidRPr="0084003D">
        <w:rPr>
          <w:i/>
          <w:iCs/>
        </w:rPr>
        <w:t xml:space="preserve"> SOE Report</w:t>
      </w:r>
      <w:r w:rsidR="0057222D">
        <w:rPr>
          <w:i/>
          <w:iCs/>
        </w:rPr>
        <w:t>, available upon request</w:t>
      </w:r>
    </w:p>
    <w:p w14:paraId="0EE21253" w14:textId="3B9D2F2D" w:rsidR="009D0279" w:rsidRPr="0084003D" w:rsidRDefault="009D0279" w:rsidP="009D0279">
      <w:pPr>
        <w:pStyle w:val="ListParagraph"/>
        <w:numPr>
          <w:ilvl w:val="0"/>
          <w:numId w:val="31"/>
        </w:numPr>
        <w:rPr>
          <w:i/>
          <w:iCs/>
        </w:rPr>
      </w:pPr>
      <w:r w:rsidRPr="0084003D">
        <w:rPr>
          <w:i/>
          <w:iCs/>
        </w:rPr>
        <w:t>1</w:t>
      </w:r>
      <w:r w:rsidRPr="0084003D">
        <w:rPr>
          <w:i/>
          <w:iCs/>
          <w:vertAlign w:val="superscript"/>
        </w:rPr>
        <w:t>st</w:t>
      </w:r>
      <w:r w:rsidRPr="0084003D">
        <w:rPr>
          <w:i/>
          <w:iCs/>
        </w:rPr>
        <w:t xml:space="preserve"> NES Report</w:t>
      </w:r>
      <w:r w:rsidR="0057222D">
        <w:rPr>
          <w:i/>
          <w:iCs/>
        </w:rPr>
        <w:t>, available upon request</w:t>
      </w:r>
    </w:p>
    <w:p w14:paraId="550E0A6F" w14:textId="24BF7755" w:rsidR="009D0279" w:rsidRPr="0084003D" w:rsidRDefault="009D0279" w:rsidP="009D0279">
      <w:pPr>
        <w:pStyle w:val="ListParagraph"/>
        <w:numPr>
          <w:ilvl w:val="0"/>
          <w:numId w:val="31"/>
        </w:numPr>
        <w:rPr>
          <w:i/>
          <w:iCs/>
        </w:rPr>
      </w:pPr>
      <w:r w:rsidRPr="0084003D">
        <w:rPr>
          <w:i/>
          <w:iCs/>
        </w:rPr>
        <w:t>2</w:t>
      </w:r>
      <w:r w:rsidRPr="0084003D">
        <w:rPr>
          <w:i/>
          <w:iCs/>
          <w:vertAlign w:val="superscript"/>
        </w:rPr>
        <w:t>nd</w:t>
      </w:r>
      <w:r w:rsidRPr="0084003D">
        <w:rPr>
          <w:i/>
          <w:iCs/>
        </w:rPr>
        <w:t xml:space="preserve"> NES Call for Abstract</w:t>
      </w:r>
      <w:r w:rsidR="0057222D">
        <w:rPr>
          <w:i/>
          <w:iCs/>
        </w:rPr>
        <w:t>, available upon request</w:t>
      </w:r>
    </w:p>
    <w:p w14:paraId="3CA1CBC4" w14:textId="642D98EE" w:rsidR="009D0279" w:rsidRPr="0084003D" w:rsidRDefault="009D0279" w:rsidP="009D0279">
      <w:pPr>
        <w:pStyle w:val="ListParagraph"/>
        <w:numPr>
          <w:ilvl w:val="0"/>
          <w:numId w:val="31"/>
        </w:numPr>
        <w:rPr>
          <w:i/>
          <w:iCs/>
        </w:rPr>
      </w:pPr>
      <w:r w:rsidRPr="0084003D">
        <w:rPr>
          <w:i/>
          <w:iCs/>
        </w:rPr>
        <w:t>2</w:t>
      </w:r>
      <w:r w:rsidRPr="0084003D">
        <w:rPr>
          <w:i/>
          <w:iCs/>
          <w:vertAlign w:val="superscript"/>
        </w:rPr>
        <w:t>nd</w:t>
      </w:r>
      <w:r w:rsidRPr="0084003D">
        <w:rPr>
          <w:i/>
          <w:iCs/>
        </w:rPr>
        <w:t xml:space="preserve"> NES Information Note</w:t>
      </w:r>
      <w:r w:rsidR="0057222D">
        <w:rPr>
          <w:i/>
          <w:iCs/>
        </w:rPr>
        <w:t>, available upon request</w:t>
      </w:r>
    </w:p>
    <w:p w14:paraId="2EA920CE" w14:textId="63D3D7C1" w:rsidR="00C62189" w:rsidRPr="0084003D" w:rsidRDefault="00363871" w:rsidP="009D0279">
      <w:pPr>
        <w:pStyle w:val="ListParagraph"/>
        <w:numPr>
          <w:ilvl w:val="0"/>
          <w:numId w:val="31"/>
        </w:numPr>
        <w:rPr>
          <w:i/>
          <w:iCs/>
        </w:rPr>
      </w:pPr>
      <w:r w:rsidRPr="0084003D">
        <w:rPr>
          <w:i/>
          <w:iCs/>
        </w:rPr>
        <w:t>NEPC Bylaws and SOP</w:t>
      </w:r>
      <w:r w:rsidR="0057222D">
        <w:rPr>
          <w:i/>
          <w:iCs/>
        </w:rPr>
        <w:t>, available upon request</w:t>
      </w:r>
    </w:p>
    <w:p w14:paraId="6375B4E6" w14:textId="3B30C348" w:rsidR="00C62189" w:rsidRDefault="00C62189" w:rsidP="009D0279">
      <w:pPr>
        <w:pStyle w:val="ListParagraph"/>
        <w:numPr>
          <w:ilvl w:val="0"/>
          <w:numId w:val="31"/>
        </w:numPr>
        <w:rPr>
          <w:i/>
          <w:iCs/>
        </w:rPr>
      </w:pPr>
      <w:r>
        <w:rPr>
          <w:i/>
          <w:iCs/>
        </w:rPr>
        <w:t>Workplan for extended period (2019)</w:t>
      </w:r>
    </w:p>
    <w:p w14:paraId="13CF2BBF" w14:textId="0B509D24" w:rsidR="00F722BF" w:rsidRPr="0084003D" w:rsidRDefault="00F722BF" w:rsidP="0084003D">
      <w:pPr>
        <w:rPr>
          <w:i/>
          <w:iCs/>
        </w:rPr>
        <w:sectPr w:rsidR="00F722BF" w:rsidRPr="0084003D" w:rsidSect="001D121F">
          <w:pgSz w:w="12240" w:h="15840"/>
          <w:pgMar w:top="1440" w:right="1440" w:bottom="1440" w:left="1440" w:header="720" w:footer="720" w:gutter="0"/>
          <w:cols w:space="720"/>
          <w:docGrid w:linePitch="360"/>
        </w:sectPr>
      </w:pPr>
    </w:p>
    <w:p w14:paraId="7A684D93" w14:textId="3B7A24ED" w:rsidR="00363871" w:rsidRDefault="00C62189" w:rsidP="00C62189">
      <w:pPr>
        <w:rPr>
          <w:i/>
          <w:iCs/>
        </w:rPr>
      </w:pPr>
      <w:r>
        <w:rPr>
          <w:i/>
          <w:iCs/>
        </w:rPr>
        <w:lastRenderedPageBreak/>
        <w:t>Workplan for extended period (2019)</w:t>
      </w:r>
    </w:p>
    <w:tbl>
      <w:tblPr>
        <w:tblW w:w="14040" w:type="dxa"/>
        <w:tblInd w:w="-5" w:type="dxa"/>
        <w:tblLayout w:type="fixed"/>
        <w:tblLook w:val="04A0" w:firstRow="1" w:lastRow="0" w:firstColumn="1" w:lastColumn="0" w:noHBand="0" w:noVBand="1"/>
      </w:tblPr>
      <w:tblGrid>
        <w:gridCol w:w="3690"/>
        <w:gridCol w:w="4860"/>
        <w:gridCol w:w="630"/>
        <w:gridCol w:w="630"/>
        <w:gridCol w:w="720"/>
        <w:gridCol w:w="720"/>
        <w:gridCol w:w="540"/>
        <w:gridCol w:w="630"/>
        <w:gridCol w:w="1620"/>
      </w:tblGrid>
      <w:tr w:rsidR="00D0082C" w:rsidRPr="00D0082C" w14:paraId="4EF796D8" w14:textId="77777777" w:rsidTr="0057222D">
        <w:trPr>
          <w:trHeight w:val="290"/>
        </w:trPr>
        <w:tc>
          <w:tcPr>
            <w:tcW w:w="3690" w:type="dxa"/>
            <w:tcBorders>
              <w:top w:val="single" w:sz="4" w:space="0" w:color="auto"/>
              <w:left w:val="single" w:sz="4" w:space="0" w:color="auto"/>
              <w:bottom w:val="nil"/>
              <w:right w:val="single" w:sz="4" w:space="0" w:color="auto"/>
            </w:tcBorders>
            <w:shd w:val="clear" w:color="000000" w:fill="D9D9D9"/>
            <w:vAlign w:val="center"/>
            <w:hideMark/>
          </w:tcPr>
          <w:p w14:paraId="1F5FFAA1"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Outputs</w:t>
            </w:r>
          </w:p>
        </w:tc>
        <w:tc>
          <w:tcPr>
            <w:tcW w:w="4860" w:type="dxa"/>
            <w:tcBorders>
              <w:top w:val="single" w:sz="4" w:space="0" w:color="auto"/>
              <w:left w:val="nil"/>
              <w:bottom w:val="nil"/>
              <w:right w:val="single" w:sz="4" w:space="0" w:color="auto"/>
            </w:tcBorders>
            <w:shd w:val="clear" w:color="000000" w:fill="D9D9D9"/>
            <w:vAlign w:val="center"/>
            <w:hideMark/>
          </w:tcPr>
          <w:p w14:paraId="401EBF97"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Planned activities</w:t>
            </w:r>
          </w:p>
        </w:tc>
        <w:tc>
          <w:tcPr>
            <w:tcW w:w="3870" w:type="dxa"/>
            <w:gridSpan w:val="6"/>
            <w:tcBorders>
              <w:top w:val="single" w:sz="4" w:space="0" w:color="auto"/>
              <w:left w:val="nil"/>
              <w:bottom w:val="single" w:sz="4" w:space="0" w:color="auto"/>
              <w:right w:val="nil"/>
            </w:tcBorders>
            <w:shd w:val="clear" w:color="000000" w:fill="D9D9D9"/>
            <w:noWrap/>
            <w:vAlign w:val="bottom"/>
            <w:hideMark/>
          </w:tcPr>
          <w:p w14:paraId="76A8DA2B"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C6AD6A"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r>
      <w:tr w:rsidR="0057222D" w:rsidRPr="00D0082C" w14:paraId="1ECDFB77" w14:textId="77777777" w:rsidTr="0057222D">
        <w:trPr>
          <w:trHeight w:val="290"/>
        </w:trPr>
        <w:tc>
          <w:tcPr>
            <w:tcW w:w="3690" w:type="dxa"/>
            <w:tcBorders>
              <w:top w:val="nil"/>
              <w:left w:val="single" w:sz="4" w:space="0" w:color="auto"/>
              <w:bottom w:val="single" w:sz="4" w:space="0" w:color="auto"/>
              <w:right w:val="single" w:sz="4" w:space="0" w:color="auto"/>
            </w:tcBorders>
            <w:shd w:val="clear" w:color="000000" w:fill="D9D9D9"/>
            <w:vAlign w:val="center"/>
            <w:hideMark/>
          </w:tcPr>
          <w:p w14:paraId="0B62C66C"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4860" w:type="dxa"/>
            <w:tcBorders>
              <w:top w:val="nil"/>
              <w:left w:val="nil"/>
              <w:bottom w:val="single" w:sz="4" w:space="0" w:color="auto"/>
              <w:right w:val="nil"/>
            </w:tcBorders>
            <w:shd w:val="clear" w:color="000000" w:fill="D9D9D9"/>
            <w:vAlign w:val="center"/>
            <w:hideMark/>
          </w:tcPr>
          <w:p w14:paraId="6762CA90"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630" w:type="dxa"/>
            <w:tcBorders>
              <w:top w:val="nil"/>
              <w:left w:val="single" w:sz="4" w:space="0" w:color="auto"/>
              <w:bottom w:val="single" w:sz="4" w:space="0" w:color="auto"/>
              <w:right w:val="single" w:sz="4" w:space="0" w:color="auto"/>
            </w:tcBorders>
            <w:shd w:val="clear" w:color="000000" w:fill="DDEBF7"/>
            <w:noWrap/>
            <w:vAlign w:val="bottom"/>
            <w:hideMark/>
          </w:tcPr>
          <w:p w14:paraId="5401F265"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Jan-19</w:t>
            </w:r>
          </w:p>
        </w:tc>
        <w:tc>
          <w:tcPr>
            <w:tcW w:w="630" w:type="dxa"/>
            <w:tcBorders>
              <w:top w:val="nil"/>
              <w:left w:val="nil"/>
              <w:bottom w:val="single" w:sz="4" w:space="0" w:color="auto"/>
              <w:right w:val="single" w:sz="4" w:space="0" w:color="auto"/>
            </w:tcBorders>
            <w:shd w:val="clear" w:color="000000" w:fill="DDEBF7"/>
            <w:noWrap/>
            <w:vAlign w:val="bottom"/>
            <w:hideMark/>
          </w:tcPr>
          <w:p w14:paraId="69BCDEBC"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Feb-19</w:t>
            </w:r>
          </w:p>
        </w:tc>
        <w:tc>
          <w:tcPr>
            <w:tcW w:w="720" w:type="dxa"/>
            <w:tcBorders>
              <w:top w:val="nil"/>
              <w:left w:val="nil"/>
              <w:bottom w:val="single" w:sz="4" w:space="0" w:color="auto"/>
              <w:right w:val="single" w:sz="4" w:space="0" w:color="auto"/>
            </w:tcBorders>
            <w:shd w:val="clear" w:color="000000" w:fill="DDEBF7"/>
            <w:noWrap/>
            <w:vAlign w:val="bottom"/>
            <w:hideMark/>
          </w:tcPr>
          <w:p w14:paraId="0DB9CE88"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Mar-19</w:t>
            </w:r>
          </w:p>
        </w:tc>
        <w:tc>
          <w:tcPr>
            <w:tcW w:w="720" w:type="dxa"/>
            <w:tcBorders>
              <w:top w:val="nil"/>
              <w:left w:val="nil"/>
              <w:bottom w:val="single" w:sz="4" w:space="0" w:color="auto"/>
              <w:right w:val="single" w:sz="4" w:space="0" w:color="auto"/>
            </w:tcBorders>
            <w:shd w:val="clear" w:color="000000" w:fill="DDEBF7"/>
            <w:noWrap/>
            <w:vAlign w:val="bottom"/>
            <w:hideMark/>
          </w:tcPr>
          <w:p w14:paraId="2C34F107"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Apr-19</w:t>
            </w:r>
          </w:p>
        </w:tc>
        <w:tc>
          <w:tcPr>
            <w:tcW w:w="540" w:type="dxa"/>
            <w:tcBorders>
              <w:top w:val="nil"/>
              <w:left w:val="nil"/>
              <w:bottom w:val="single" w:sz="4" w:space="0" w:color="auto"/>
              <w:right w:val="single" w:sz="4" w:space="0" w:color="auto"/>
            </w:tcBorders>
            <w:shd w:val="clear" w:color="000000" w:fill="DDEBF7"/>
            <w:noWrap/>
            <w:vAlign w:val="bottom"/>
            <w:hideMark/>
          </w:tcPr>
          <w:p w14:paraId="060F672C"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May-19</w:t>
            </w:r>
          </w:p>
        </w:tc>
        <w:tc>
          <w:tcPr>
            <w:tcW w:w="630" w:type="dxa"/>
            <w:tcBorders>
              <w:top w:val="nil"/>
              <w:left w:val="nil"/>
              <w:bottom w:val="single" w:sz="4" w:space="0" w:color="auto"/>
              <w:right w:val="single" w:sz="4" w:space="0" w:color="auto"/>
            </w:tcBorders>
            <w:shd w:val="clear" w:color="000000" w:fill="DDEBF7"/>
            <w:noWrap/>
            <w:vAlign w:val="bottom"/>
            <w:hideMark/>
          </w:tcPr>
          <w:p w14:paraId="17F5BD5B" w14:textId="77777777" w:rsidR="00D0082C" w:rsidRPr="00D0082C" w:rsidRDefault="00D0082C" w:rsidP="00D0082C">
            <w:pPr>
              <w:spacing w:after="0" w:line="240" w:lineRule="auto"/>
              <w:jc w:val="right"/>
              <w:rPr>
                <w:rFonts w:ascii="Calibri" w:eastAsia="Times New Roman" w:hAnsi="Calibri" w:cs="Calibri"/>
                <w:color w:val="000000"/>
                <w:sz w:val="18"/>
                <w:szCs w:val="18"/>
              </w:rPr>
            </w:pPr>
            <w:r w:rsidRPr="00D0082C">
              <w:rPr>
                <w:rFonts w:ascii="Calibri" w:eastAsia="Times New Roman" w:hAnsi="Calibri" w:cs="Calibri"/>
                <w:color w:val="000000"/>
                <w:sz w:val="18"/>
                <w:szCs w:val="18"/>
              </w:rPr>
              <w:t>Jun-19</w:t>
            </w:r>
          </w:p>
        </w:tc>
        <w:tc>
          <w:tcPr>
            <w:tcW w:w="1620" w:type="dxa"/>
            <w:tcBorders>
              <w:top w:val="nil"/>
              <w:left w:val="nil"/>
              <w:bottom w:val="single" w:sz="4" w:space="0" w:color="auto"/>
              <w:right w:val="single" w:sz="4" w:space="0" w:color="auto"/>
            </w:tcBorders>
            <w:shd w:val="clear" w:color="000000" w:fill="FFF2CC"/>
            <w:noWrap/>
            <w:vAlign w:val="bottom"/>
            <w:hideMark/>
          </w:tcPr>
          <w:p w14:paraId="496E12A4"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2019</w:t>
            </w:r>
          </w:p>
        </w:tc>
      </w:tr>
      <w:tr w:rsidR="00D0082C" w:rsidRPr="00D0082C" w14:paraId="7CC893A3" w14:textId="77777777" w:rsidTr="0057222D">
        <w:trPr>
          <w:trHeight w:val="290"/>
        </w:trPr>
        <w:tc>
          <w:tcPr>
            <w:tcW w:w="3690" w:type="dxa"/>
            <w:tcBorders>
              <w:top w:val="nil"/>
              <w:left w:val="single" w:sz="4" w:space="0" w:color="auto"/>
              <w:bottom w:val="nil"/>
              <w:right w:val="single" w:sz="4" w:space="0" w:color="auto"/>
            </w:tcBorders>
            <w:shd w:val="clear" w:color="000000" w:fill="FFC000"/>
            <w:noWrap/>
            <w:vAlign w:val="bottom"/>
            <w:hideMark/>
          </w:tcPr>
          <w:p w14:paraId="5F34CE8F"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Outcome 1</w:t>
            </w:r>
          </w:p>
        </w:tc>
        <w:tc>
          <w:tcPr>
            <w:tcW w:w="10350" w:type="dxa"/>
            <w:gridSpan w:val="8"/>
            <w:tcBorders>
              <w:top w:val="single" w:sz="4" w:space="0" w:color="auto"/>
              <w:left w:val="nil"/>
              <w:bottom w:val="single" w:sz="4" w:space="0" w:color="auto"/>
              <w:right w:val="single" w:sz="4" w:space="0" w:color="000000"/>
            </w:tcBorders>
            <w:shd w:val="clear" w:color="000000" w:fill="FFC000"/>
            <w:noWrap/>
            <w:vAlign w:val="bottom"/>
            <w:hideMark/>
          </w:tcPr>
          <w:p w14:paraId="07E524FC"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Improved management information system for the global environment</w:t>
            </w:r>
          </w:p>
        </w:tc>
      </w:tr>
      <w:tr w:rsidR="0057222D" w:rsidRPr="00D0082C" w14:paraId="70DBC3AB" w14:textId="77777777" w:rsidTr="0057222D">
        <w:trPr>
          <w:trHeight w:val="290"/>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4C7FB"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Output 1.1: Harmonized collection and measurement methodologies of key data and information</w:t>
            </w:r>
          </w:p>
        </w:tc>
        <w:tc>
          <w:tcPr>
            <w:tcW w:w="4860" w:type="dxa"/>
            <w:tcBorders>
              <w:top w:val="nil"/>
              <w:left w:val="nil"/>
              <w:bottom w:val="single" w:sz="4" w:space="0" w:color="auto"/>
              <w:right w:val="single" w:sz="4" w:space="0" w:color="auto"/>
            </w:tcBorders>
            <w:shd w:val="clear" w:color="auto" w:fill="auto"/>
            <w:noWrap/>
            <w:vAlign w:val="bottom"/>
            <w:hideMark/>
          </w:tcPr>
          <w:p w14:paraId="3F08B41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1.1.1 Undertake an inventory of environmental information data sets compiled in Palau.</w:t>
            </w:r>
          </w:p>
        </w:tc>
        <w:tc>
          <w:tcPr>
            <w:tcW w:w="630" w:type="dxa"/>
            <w:tcBorders>
              <w:top w:val="nil"/>
              <w:left w:val="nil"/>
              <w:bottom w:val="single" w:sz="4" w:space="0" w:color="auto"/>
              <w:right w:val="single" w:sz="4" w:space="0" w:color="auto"/>
            </w:tcBorders>
            <w:shd w:val="clear" w:color="auto" w:fill="auto"/>
            <w:noWrap/>
            <w:vAlign w:val="bottom"/>
            <w:hideMark/>
          </w:tcPr>
          <w:p w14:paraId="4BF189E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C4461ED"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66D700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F6EA4F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72BB5FF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95D3E1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244E4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4183B5C6"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39EE7B12"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0CF4367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1.1.2 Identify the environmental reporting obligations in Palau</w:t>
            </w:r>
          </w:p>
        </w:tc>
        <w:tc>
          <w:tcPr>
            <w:tcW w:w="630" w:type="dxa"/>
            <w:tcBorders>
              <w:top w:val="nil"/>
              <w:left w:val="nil"/>
              <w:bottom w:val="single" w:sz="4" w:space="0" w:color="auto"/>
              <w:right w:val="single" w:sz="4" w:space="0" w:color="auto"/>
            </w:tcBorders>
            <w:shd w:val="clear" w:color="auto" w:fill="auto"/>
            <w:noWrap/>
            <w:vAlign w:val="bottom"/>
            <w:hideMark/>
          </w:tcPr>
          <w:p w14:paraId="0FD9127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5A57C4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89C7F1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6C5498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09A2E9FC"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9F71A86"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27C1667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0B8D9ADE"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74E133A9"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7E87C63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1.1.3Identify environmental information needs of key stakeholders</w:t>
            </w:r>
          </w:p>
        </w:tc>
        <w:tc>
          <w:tcPr>
            <w:tcW w:w="630" w:type="dxa"/>
            <w:tcBorders>
              <w:top w:val="nil"/>
              <w:left w:val="nil"/>
              <w:bottom w:val="single" w:sz="4" w:space="0" w:color="auto"/>
              <w:right w:val="single" w:sz="4" w:space="0" w:color="auto"/>
            </w:tcBorders>
            <w:shd w:val="clear" w:color="auto" w:fill="auto"/>
            <w:noWrap/>
            <w:vAlign w:val="bottom"/>
            <w:hideMark/>
          </w:tcPr>
          <w:p w14:paraId="39CC148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53B81B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6EB1B3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47F3A5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FEDC1A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F2BA17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DD9AE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7C4874A6"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527AFA9C"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52ED02D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1.1.4Identify environmental information gaps</w:t>
            </w:r>
          </w:p>
        </w:tc>
        <w:tc>
          <w:tcPr>
            <w:tcW w:w="630" w:type="dxa"/>
            <w:tcBorders>
              <w:top w:val="nil"/>
              <w:left w:val="nil"/>
              <w:bottom w:val="single" w:sz="4" w:space="0" w:color="auto"/>
              <w:right w:val="single" w:sz="4" w:space="0" w:color="auto"/>
            </w:tcBorders>
            <w:shd w:val="clear" w:color="auto" w:fill="auto"/>
            <w:noWrap/>
            <w:vAlign w:val="bottom"/>
            <w:hideMark/>
          </w:tcPr>
          <w:p w14:paraId="6992FFF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4771BAD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119680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6B7B40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0083078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DC39CE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6831BA" w14:textId="77A541E8"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5,000 </w:t>
            </w:r>
          </w:p>
        </w:tc>
      </w:tr>
      <w:tr w:rsidR="0057222D" w:rsidRPr="00D0082C" w14:paraId="730605A9"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02AFFA78"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3428924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1.1.5Develop and implement an action plan</w:t>
            </w:r>
          </w:p>
        </w:tc>
        <w:tc>
          <w:tcPr>
            <w:tcW w:w="630" w:type="dxa"/>
            <w:tcBorders>
              <w:top w:val="nil"/>
              <w:left w:val="nil"/>
              <w:bottom w:val="single" w:sz="4" w:space="0" w:color="auto"/>
              <w:right w:val="single" w:sz="4" w:space="0" w:color="auto"/>
            </w:tcBorders>
            <w:shd w:val="clear" w:color="auto" w:fill="auto"/>
            <w:noWrap/>
            <w:vAlign w:val="bottom"/>
            <w:hideMark/>
          </w:tcPr>
          <w:p w14:paraId="1381837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6A9D67DC"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33A657E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0F8667B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00"/>
            <w:noWrap/>
            <w:vAlign w:val="bottom"/>
            <w:hideMark/>
          </w:tcPr>
          <w:p w14:paraId="3244F56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1A872CD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4ECEEA79" w14:textId="1C011FFC"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10,000 </w:t>
            </w:r>
          </w:p>
        </w:tc>
      </w:tr>
      <w:tr w:rsidR="0057222D" w:rsidRPr="00D0082C" w14:paraId="6B8D6EF3"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49141F34"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23FDDCA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D0655B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71455E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22F7C3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2BE38C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69422F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C0E82A6"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B6EC21"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w:t>
            </w:r>
          </w:p>
        </w:tc>
      </w:tr>
      <w:tr w:rsidR="00D0082C" w:rsidRPr="00D0082C" w14:paraId="1ED83F2A"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BE64CA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1.1</w:t>
            </w:r>
          </w:p>
        </w:tc>
        <w:tc>
          <w:tcPr>
            <w:tcW w:w="1620" w:type="dxa"/>
            <w:tcBorders>
              <w:top w:val="nil"/>
              <w:left w:val="nil"/>
              <w:bottom w:val="single" w:sz="4" w:space="0" w:color="auto"/>
              <w:right w:val="single" w:sz="4" w:space="0" w:color="auto"/>
            </w:tcBorders>
            <w:shd w:val="clear" w:color="000000" w:fill="E7E6E6"/>
            <w:noWrap/>
            <w:vAlign w:val="bottom"/>
            <w:hideMark/>
          </w:tcPr>
          <w:p w14:paraId="3D1662C7" w14:textId="580E4324"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15,000 </w:t>
            </w:r>
          </w:p>
        </w:tc>
      </w:tr>
      <w:tr w:rsidR="0057222D" w:rsidRPr="00D0082C" w14:paraId="0913D695" w14:textId="77777777" w:rsidTr="0057222D">
        <w:trPr>
          <w:trHeight w:val="290"/>
        </w:trPr>
        <w:tc>
          <w:tcPr>
            <w:tcW w:w="3690" w:type="dxa"/>
            <w:vMerge w:val="restart"/>
            <w:tcBorders>
              <w:top w:val="nil"/>
              <w:left w:val="single" w:sz="4" w:space="0" w:color="auto"/>
              <w:bottom w:val="single" w:sz="4" w:space="0" w:color="auto"/>
              <w:right w:val="single" w:sz="4" w:space="0" w:color="auto"/>
            </w:tcBorders>
            <w:shd w:val="clear" w:color="auto" w:fill="auto"/>
            <w:hideMark/>
          </w:tcPr>
          <w:p w14:paraId="68FC040C"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Output 1.2: Existing databases and information systems are strengthened and networked to improve access to environmental data and information</w:t>
            </w:r>
          </w:p>
        </w:tc>
        <w:tc>
          <w:tcPr>
            <w:tcW w:w="4860" w:type="dxa"/>
            <w:tcBorders>
              <w:top w:val="nil"/>
              <w:left w:val="nil"/>
              <w:bottom w:val="single" w:sz="4" w:space="0" w:color="auto"/>
              <w:right w:val="single" w:sz="4" w:space="0" w:color="auto"/>
            </w:tcBorders>
            <w:shd w:val="clear" w:color="auto" w:fill="auto"/>
            <w:noWrap/>
            <w:vAlign w:val="bottom"/>
            <w:hideMark/>
          </w:tcPr>
          <w:p w14:paraId="27343FB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1.2.1Identify the information technologies (IT) used</w:t>
            </w:r>
          </w:p>
        </w:tc>
        <w:tc>
          <w:tcPr>
            <w:tcW w:w="630" w:type="dxa"/>
            <w:tcBorders>
              <w:top w:val="nil"/>
              <w:left w:val="nil"/>
              <w:bottom w:val="single" w:sz="4" w:space="0" w:color="auto"/>
              <w:right w:val="single" w:sz="4" w:space="0" w:color="auto"/>
            </w:tcBorders>
            <w:shd w:val="clear" w:color="000000" w:fill="FFFF00"/>
            <w:noWrap/>
            <w:vAlign w:val="bottom"/>
            <w:hideMark/>
          </w:tcPr>
          <w:p w14:paraId="1A7E076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FEF012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F0B8C2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90DB34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5DA37A3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3947E7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C5CB44" w14:textId="4536FE4F"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5,000 </w:t>
            </w:r>
          </w:p>
        </w:tc>
      </w:tr>
      <w:tr w:rsidR="0057222D" w:rsidRPr="00D0082C" w14:paraId="0A7E64EC" w14:textId="77777777" w:rsidTr="0057222D">
        <w:trPr>
          <w:trHeight w:val="290"/>
        </w:trPr>
        <w:tc>
          <w:tcPr>
            <w:tcW w:w="3690" w:type="dxa"/>
            <w:vMerge/>
            <w:tcBorders>
              <w:top w:val="nil"/>
              <w:left w:val="single" w:sz="4" w:space="0" w:color="auto"/>
              <w:bottom w:val="single" w:sz="4" w:space="0" w:color="auto"/>
              <w:right w:val="single" w:sz="4" w:space="0" w:color="auto"/>
            </w:tcBorders>
            <w:vAlign w:val="center"/>
            <w:hideMark/>
          </w:tcPr>
          <w:p w14:paraId="591BD4AA"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1BBA62F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1.2.2Develop an IT architecture</w:t>
            </w:r>
          </w:p>
        </w:tc>
        <w:tc>
          <w:tcPr>
            <w:tcW w:w="630" w:type="dxa"/>
            <w:tcBorders>
              <w:top w:val="nil"/>
              <w:left w:val="nil"/>
              <w:bottom w:val="single" w:sz="4" w:space="0" w:color="auto"/>
              <w:right w:val="single" w:sz="4" w:space="0" w:color="auto"/>
            </w:tcBorders>
            <w:shd w:val="clear" w:color="auto" w:fill="auto"/>
            <w:noWrap/>
            <w:vAlign w:val="bottom"/>
            <w:hideMark/>
          </w:tcPr>
          <w:p w14:paraId="5874469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7FC5286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49AB186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3D441B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0E9236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B00FDAA"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104046" w14:textId="7F3F40FC"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5,000 </w:t>
            </w:r>
          </w:p>
        </w:tc>
      </w:tr>
      <w:tr w:rsidR="0057222D" w:rsidRPr="00D0082C" w14:paraId="36B2DE6F" w14:textId="77777777" w:rsidTr="0057222D">
        <w:trPr>
          <w:trHeight w:val="290"/>
        </w:trPr>
        <w:tc>
          <w:tcPr>
            <w:tcW w:w="3690" w:type="dxa"/>
            <w:vMerge/>
            <w:tcBorders>
              <w:top w:val="nil"/>
              <w:left w:val="single" w:sz="4" w:space="0" w:color="auto"/>
              <w:bottom w:val="single" w:sz="4" w:space="0" w:color="auto"/>
              <w:right w:val="single" w:sz="4" w:space="0" w:color="auto"/>
            </w:tcBorders>
            <w:vAlign w:val="center"/>
            <w:hideMark/>
          </w:tcPr>
          <w:p w14:paraId="2DF25AA6"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458C5A2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1.2.3Implement activities to address key IT architecture gaps</w:t>
            </w:r>
          </w:p>
        </w:tc>
        <w:tc>
          <w:tcPr>
            <w:tcW w:w="630" w:type="dxa"/>
            <w:tcBorders>
              <w:top w:val="nil"/>
              <w:left w:val="nil"/>
              <w:bottom w:val="single" w:sz="4" w:space="0" w:color="auto"/>
              <w:right w:val="single" w:sz="4" w:space="0" w:color="auto"/>
            </w:tcBorders>
            <w:shd w:val="clear" w:color="auto" w:fill="auto"/>
            <w:noWrap/>
            <w:vAlign w:val="bottom"/>
            <w:hideMark/>
          </w:tcPr>
          <w:p w14:paraId="346C701A"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3F1563AC"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329D893D"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60A6B52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767FE09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2D8221A"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A11516" w14:textId="1A2670E1"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14,175 </w:t>
            </w:r>
          </w:p>
        </w:tc>
      </w:tr>
      <w:tr w:rsidR="00D0082C" w:rsidRPr="00D0082C" w14:paraId="7F7735A1"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70C225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1.2</w:t>
            </w:r>
          </w:p>
        </w:tc>
        <w:tc>
          <w:tcPr>
            <w:tcW w:w="1620" w:type="dxa"/>
            <w:tcBorders>
              <w:top w:val="nil"/>
              <w:left w:val="nil"/>
              <w:bottom w:val="single" w:sz="4" w:space="0" w:color="auto"/>
              <w:right w:val="single" w:sz="4" w:space="0" w:color="auto"/>
            </w:tcBorders>
            <w:shd w:val="clear" w:color="000000" w:fill="E7E6E6"/>
            <w:noWrap/>
            <w:vAlign w:val="bottom"/>
            <w:hideMark/>
          </w:tcPr>
          <w:p w14:paraId="778D36AB" w14:textId="6129DFA4"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24,175 </w:t>
            </w:r>
          </w:p>
        </w:tc>
      </w:tr>
      <w:tr w:rsidR="0057222D" w:rsidRPr="00D0082C" w14:paraId="23F10171" w14:textId="77777777" w:rsidTr="0057222D">
        <w:trPr>
          <w:trHeight w:val="290"/>
        </w:trPr>
        <w:tc>
          <w:tcPr>
            <w:tcW w:w="3690" w:type="dxa"/>
            <w:vMerge w:val="restart"/>
            <w:tcBorders>
              <w:top w:val="nil"/>
              <w:left w:val="single" w:sz="4" w:space="0" w:color="auto"/>
              <w:bottom w:val="single" w:sz="4" w:space="0" w:color="auto"/>
              <w:right w:val="single" w:sz="4" w:space="0" w:color="auto"/>
            </w:tcBorders>
            <w:shd w:val="clear" w:color="auto" w:fill="auto"/>
            <w:hideMark/>
          </w:tcPr>
          <w:p w14:paraId="1B5156E7"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Output 1.3: Agencies' data management protocols are revised to improve access</w:t>
            </w:r>
          </w:p>
        </w:tc>
        <w:tc>
          <w:tcPr>
            <w:tcW w:w="4860" w:type="dxa"/>
            <w:tcBorders>
              <w:top w:val="nil"/>
              <w:left w:val="nil"/>
              <w:bottom w:val="single" w:sz="4" w:space="0" w:color="auto"/>
              <w:right w:val="single" w:sz="4" w:space="0" w:color="auto"/>
            </w:tcBorders>
            <w:shd w:val="clear" w:color="auto" w:fill="auto"/>
            <w:noWrap/>
            <w:vAlign w:val="bottom"/>
            <w:hideMark/>
          </w:tcPr>
          <w:p w14:paraId="1A7FA7A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1.3.1Review the protocols in place for environmental data sharing</w:t>
            </w:r>
          </w:p>
        </w:tc>
        <w:tc>
          <w:tcPr>
            <w:tcW w:w="630" w:type="dxa"/>
            <w:tcBorders>
              <w:top w:val="nil"/>
              <w:left w:val="nil"/>
              <w:bottom w:val="single" w:sz="4" w:space="0" w:color="auto"/>
              <w:right w:val="single" w:sz="4" w:space="0" w:color="auto"/>
            </w:tcBorders>
            <w:shd w:val="clear" w:color="000000" w:fill="FFFF00"/>
            <w:noWrap/>
            <w:vAlign w:val="bottom"/>
            <w:hideMark/>
          </w:tcPr>
          <w:p w14:paraId="2E503D7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5752B8C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B867246"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FDA96B6"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FD48F3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8864B2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FDF6C7" w14:textId="0840490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10,000 </w:t>
            </w:r>
          </w:p>
        </w:tc>
      </w:tr>
      <w:tr w:rsidR="0057222D" w:rsidRPr="00D0082C" w14:paraId="47BAE85D" w14:textId="77777777" w:rsidTr="0057222D">
        <w:trPr>
          <w:trHeight w:val="290"/>
        </w:trPr>
        <w:tc>
          <w:tcPr>
            <w:tcW w:w="3690" w:type="dxa"/>
            <w:vMerge/>
            <w:tcBorders>
              <w:top w:val="nil"/>
              <w:left w:val="single" w:sz="4" w:space="0" w:color="auto"/>
              <w:bottom w:val="single" w:sz="4" w:space="0" w:color="auto"/>
              <w:right w:val="single" w:sz="4" w:space="0" w:color="auto"/>
            </w:tcBorders>
            <w:vAlign w:val="center"/>
            <w:hideMark/>
          </w:tcPr>
          <w:p w14:paraId="6FD11B06"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4406A04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xml:space="preserve">1.3.2 Address the key sharing arrangement gaps </w:t>
            </w:r>
          </w:p>
        </w:tc>
        <w:tc>
          <w:tcPr>
            <w:tcW w:w="630" w:type="dxa"/>
            <w:tcBorders>
              <w:top w:val="nil"/>
              <w:left w:val="nil"/>
              <w:bottom w:val="single" w:sz="4" w:space="0" w:color="auto"/>
              <w:right w:val="single" w:sz="4" w:space="0" w:color="auto"/>
            </w:tcBorders>
            <w:shd w:val="clear" w:color="auto" w:fill="auto"/>
            <w:noWrap/>
            <w:vAlign w:val="bottom"/>
            <w:hideMark/>
          </w:tcPr>
          <w:p w14:paraId="4D3EA6D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77928B8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4BFF673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2027E3E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355FDC5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995600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92E07D" w14:textId="7046568D"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10,000 </w:t>
            </w:r>
          </w:p>
        </w:tc>
      </w:tr>
      <w:tr w:rsidR="00D0082C" w:rsidRPr="00D0082C" w14:paraId="38E822FA"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871002A"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1.3</w:t>
            </w:r>
          </w:p>
        </w:tc>
        <w:tc>
          <w:tcPr>
            <w:tcW w:w="1620" w:type="dxa"/>
            <w:tcBorders>
              <w:top w:val="nil"/>
              <w:left w:val="nil"/>
              <w:bottom w:val="single" w:sz="4" w:space="0" w:color="auto"/>
              <w:right w:val="single" w:sz="4" w:space="0" w:color="auto"/>
            </w:tcBorders>
            <w:shd w:val="clear" w:color="000000" w:fill="E7E6E6"/>
            <w:noWrap/>
            <w:vAlign w:val="bottom"/>
            <w:hideMark/>
          </w:tcPr>
          <w:p w14:paraId="522036EE" w14:textId="01796D41"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20,000 </w:t>
            </w:r>
          </w:p>
        </w:tc>
      </w:tr>
      <w:tr w:rsidR="0057222D" w:rsidRPr="00D0082C" w14:paraId="5C8734E1" w14:textId="77777777" w:rsidTr="0057222D">
        <w:trPr>
          <w:trHeight w:val="290"/>
        </w:trPr>
        <w:tc>
          <w:tcPr>
            <w:tcW w:w="3690" w:type="dxa"/>
            <w:tcBorders>
              <w:top w:val="nil"/>
              <w:left w:val="single" w:sz="4" w:space="0" w:color="auto"/>
              <w:bottom w:val="single" w:sz="4" w:space="0" w:color="auto"/>
              <w:right w:val="single" w:sz="4" w:space="0" w:color="auto"/>
            </w:tcBorders>
            <w:shd w:val="clear" w:color="000000" w:fill="E7E6E6"/>
            <w:noWrap/>
            <w:vAlign w:val="bottom"/>
            <w:hideMark/>
          </w:tcPr>
          <w:p w14:paraId="3C92947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TE portion</w:t>
            </w:r>
          </w:p>
        </w:tc>
        <w:tc>
          <w:tcPr>
            <w:tcW w:w="4860" w:type="dxa"/>
            <w:tcBorders>
              <w:top w:val="nil"/>
              <w:left w:val="nil"/>
              <w:bottom w:val="single" w:sz="4" w:space="0" w:color="auto"/>
              <w:right w:val="single" w:sz="4" w:space="0" w:color="auto"/>
            </w:tcBorders>
            <w:shd w:val="clear" w:color="000000" w:fill="E7E6E6"/>
            <w:noWrap/>
            <w:vAlign w:val="bottom"/>
            <w:hideMark/>
          </w:tcPr>
          <w:p w14:paraId="5E570D5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4CA7E0E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5F6CDCE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6E629C7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5818B32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000000" w:fill="E7E6E6"/>
            <w:noWrap/>
            <w:vAlign w:val="bottom"/>
            <w:hideMark/>
          </w:tcPr>
          <w:p w14:paraId="469DD52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300822C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000000" w:fill="E7E6E6"/>
            <w:noWrap/>
            <w:vAlign w:val="bottom"/>
            <w:hideMark/>
          </w:tcPr>
          <w:p w14:paraId="432AD055" w14:textId="464BAE64"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10,000 </w:t>
            </w:r>
          </w:p>
        </w:tc>
      </w:tr>
      <w:tr w:rsidR="00D0082C" w:rsidRPr="00D0082C" w14:paraId="340FF385"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A047A13" w14:textId="77777777" w:rsidR="00D0082C" w:rsidRPr="00D0082C" w:rsidRDefault="00D0082C" w:rsidP="00D0082C">
            <w:pPr>
              <w:spacing w:after="0" w:line="240" w:lineRule="auto"/>
              <w:rPr>
                <w:rFonts w:ascii="Calibri" w:eastAsia="Times New Roman" w:hAnsi="Calibri" w:cs="Calibri"/>
                <w:b/>
                <w:bCs/>
                <w:color w:val="000000"/>
              </w:rPr>
            </w:pPr>
            <w:r w:rsidRPr="00D0082C">
              <w:rPr>
                <w:rFonts w:ascii="Calibri" w:eastAsia="Times New Roman" w:hAnsi="Calibri" w:cs="Calibri"/>
                <w:b/>
                <w:bCs/>
                <w:color w:val="000000"/>
              </w:rPr>
              <w:t>Total Outcome 1</w:t>
            </w:r>
          </w:p>
        </w:tc>
        <w:tc>
          <w:tcPr>
            <w:tcW w:w="1620" w:type="dxa"/>
            <w:tcBorders>
              <w:top w:val="nil"/>
              <w:left w:val="nil"/>
              <w:bottom w:val="single" w:sz="4" w:space="0" w:color="auto"/>
              <w:right w:val="single" w:sz="4" w:space="0" w:color="auto"/>
            </w:tcBorders>
            <w:shd w:val="clear" w:color="000000" w:fill="D9E1F2"/>
            <w:noWrap/>
            <w:vAlign w:val="bottom"/>
            <w:hideMark/>
          </w:tcPr>
          <w:p w14:paraId="28CBF8AE" w14:textId="7EA4C25E"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69,175 </w:t>
            </w:r>
          </w:p>
        </w:tc>
      </w:tr>
      <w:tr w:rsidR="00D0082C" w:rsidRPr="00D0082C" w14:paraId="20652D69" w14:textId="77777777" w:rsidTr="0057222D">
        <w:trPr>
          <w:trHeight w:val="290"/>
        </w:trPr>
        <w:tc>
          <w:tcPr>
            <w:tcW w:w="3690" w:type="dxa"/>
            <w:tcBorders>
              <w:top w:val="nil"/>
              <w:left w:val="single" w:sz="4" w:space="0" w:color="auto"/>
              <w:bottom w:val="nil"/>
              <w:right w:val="single" w:sz="4" w:space="0" w:color="auto"/>
            </w:tcBorders>
            <w:shd w:val="clear" w:color="000000" w:fill="FFC000"/>
            <w:noWrap/>
            <w:vAlign w:val="bottom"/>
            <w:hideMark/>
          </w:tcPr>
          <w:p w14:paraId="62FDF3A8"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Outcome 2</w:t>
            </w:r>
          </w:p>
        </w:tc>
        <w:tc>
          <w:tcPr>
            <w:tcW w:w="10350" w:type="dxa"/>
            <w:gridSpan w:val="8"/>
            <w:tcBorders>
              <w:top w:val="single" w:sz="4" w:space="0" w:color="auto"/>
              <w:left w:val="nil"/>
              <w:bottom w:val="single" w:sz="4" w:space="0" w:color="auto"/>
              <w:right w:val="single" w:sz="4" w:space="0" w:color="000000"/>
            </w:tcBorders>
            <w:shd w:val="clear" w:color="000000" w:fill="FFC000"/>
            <w:vAlign w:val="bottom"/>
            <w:hideMark/>
          </w:tcPr>
          <w:p w14:paraId="437952AA"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xml:space="preserve"> Strengthened technical capacities for monitoring and evaluation of the global environment</w:t>
            </w:r>
            <w:r w:rsidRPr="00D0082C">
              <w:rPr>
                <w:rFonts w:ascii="Calibri" w:eastAsia="Times New Roman" w:hAnsi="Calibri" w:cs="Calibri"/>
                <w:b/>
                <w:bCs/>
                <w:color w:val="000000"/>
              </w:rPr>
              <w:br/>
              <w:t xml:space="preserve">• This project has not yet begun work on a formal training, but there is an opportunity to work with another project which is focused on climate-related data which will be explored in the next quarter (Oct-Dec 2017)   </w:t>
            </w:r>
          </w:p>
        </w:tc>
      </w:tr>
      <w:tr w:rsidR="0057222D" w:rsidRPr="00D0082C" w14:paraId="625F05E2" w14:textId="77777777" w:rsidTr="0057222D">
        <w:trPr>
          <w:trHeight w:val="290"/>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8BCCF7"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Output 2.1: Training on new and improved data and information collection and measurement methodologies.</w:t>
            </w:r>
          </w:p>
        </w:tc>
        <w:tc>
          <w:tcPr>
            <w:tcW w:w="4860" w:type="dxa"/>
            <w:tcBorders>
              <w:top w:val="nil"/>
              <w:left w:val="nil"/>
              <w:bottom w:val="single" w:sz="4" w:space="0" w:color="auto"/>
              <w:right w:val="single" w:sz="4" w:space="0" w:color="auto"/>
            </w:tcBorders>
            <w:shd w:val="clear" w:color="auto" w:fill="auto"/>
            <w:noWrap/>
            <w:vAlign w:val="bottom"/>
            <w:hideMark/>
          </w:tcPr>
          <w:p w14:paraId="624305E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2.1.1  Conduct a training needs analysis</w:t>
            </w:r>
          </w:p>
        </w:tc>
        <w:tc>
          <w:tcPr>
            <w:tcW w:w="630" w:type="dxa"/>
            <w:tcBorders>
              <w:top w:val="nil"/>
              <w:left w:val="nil"/>
              <w:bottom w:val="single" w:sz="4" w:space="0" w:color="auto"/>
              <w:right w:val="single" w:sz="4" w:space="0" w:color="auto"/>
            </w:tcBorders>
            <w:shd w:val="clear" w:color="auto" w:fill="auto"/>
            <w:noWrap/>
            <w:vAlign w:val="bottom"/>
            <w:hideMark/>
          </w:tcPr>
          <w:p w14:paraId="4047725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FFB8A7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FFBDCE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C569CC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61C958B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45DE0F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8D28B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3E10CEA1"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7271AB68"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0DC99BB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2.1.2 Develop a training programme</w:t>
            </w:r>
          </w:p>
        </w:tc>
        <w:tc>
          <w:tcPr>
            <w:tcW w:w="630" w:type="dxa"/>
            <w:tcBorders>
              <w:top w:val="nil"/>
              <w:left w:val="nil"/>
              <w:bottom w:val="nil"/>
              <w:right w:val="nil"/>
            </w:tcBorders>
            <w:shd w:val="clear" w:color="auto" w:fill="auto"/>
            <w:noWrap/>
            <w:vAlign w:val="bottom"/>
            <w:hideMark/>
          </w:tcPr>
          <w:p w14:paraId="0A6844F4" w14:textId="77777777" w:rsidR="00D0082C" w:rsidRPr="00D0082C" w:rsidRDefault="00D0082C" w:rsidP="00D0082C">
            <w:pPr>
              <w:spacing w:after="0" w:line="240" w:lineRule="auto"/>
              <w:rPr>
                <w:rFonts w:ascii="Calibri" w:eastAsia="Times New Roman" w:hAnsi="Calibri" w:cs="Calibri"/>
                <w:color w:val="000000"/>
              </w:rPr>
            </w:pP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D2A0D5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14DE3F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42F917D"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7FED2D9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8FA069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DCA77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2AAA49DE"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25D3C6E3"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4881C87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2.1.3Deliver training activities</w:t>
            </w:r>
          </w:p>
        </w:tc>
        <w:tc>
          <w:tcPr>
            <w:tcW w:w="630" w:type="dxa"/>
            <w:tcBorders>
              <w:top w:val="single" w:sz="4" w:space="0" w:color="auto"/>
              <w:left w:val="nil"/>
              <w:bottom w:val="single" w:sz="4" w:space="0" w:color="auto"/>
              <w:right w:val="single" w:sz="4" w:space="0" w:color="auto"/>
            </w:tcBorders>
            <w:shd w:val="clear" w:color="000000" w:fill="FFFF00"/>
            <w:noWrap/>
            <w:vAlign w:val="bottom"/>
            <w:hideMark/>
          </w:tcPr>
          <w:p w14:paraId="35F5049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13BE73B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0C692EC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3A34948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0E340CF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DE313F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828EBB"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15,000 </w:t>
            </w:r>
          </w:p>
        </w:tc>
      </w:tr>
      <w:tr w:rsidR="00D0082C" w:rsidRPr="00D0082C" w14:paraId="2506A1A6"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1E08A6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2.1</w:t>
            </w:r>
          </w:p>
        </w:tc>
        <w:tc>
          <w:tcPr>
            <w:tcW w:w="1620" w:type="dxa"/>
            <w:tcBorders>
              <w:top w:val="nil"/>
              <w:left w:val="nil"/>
              <w:bottom w:val="single" w:sz="4" w:space="0" w:color="auto"/>
              <w:right w:val="single" w:sz="4" w:space="0" w:color="auto"/>
            </w:tcBorders>
            <w:shd w:val="clear" w:color="000000" w:fill="E7E6E6"/>
            <w:noWrap/>
            <w:vAlign w:val="bottom"/>
            <w:hideMark/>
          </w:tcPr>
          <w:p w14:paraId="7E29CF67"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15,000 </w:t>
            </w:r>
          </w:p>
        </w:tc>
      </w:tr>
      <w:tr w:rsidR="0057222D" w:rsidRPr="00D0082C" w14:paraId="5A3CFEFF" w14:textId="77777777" w:rsidTr="0057222D">
        <w:trPr>
          <w:trHeight w:val="290"/>
        </w:trPr>
        <w:tc>
          <w:tcPr>
            <w:tcW w:w="3690" w:type="dxa"/>
            <w:vMerge w:val="restart"/>
            <w:tcBorders>
              <w:top w:val="nil"/>
              <w:left w:val="single" w:sz="4" w:space="0" w:color="auto"/>
              <w:bottom w:val="single" w:sz="4" w:space="0" w:color="auto"/>
              <w:right w:val="single" w:sz="4" w:space="0" w:color="auto"/>
            </w:tcBorders>
            <w:shd w:val="clear" w:color="auto" w:fill="auto"/>
            <w:hideMark/>
          </w:tcPr>
          <w:p w14:paraId="0A742145"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lastRenderedPageBreak/>
              <w:t>Output 2.2: Training on analytical skills to analyze/measure environmental trends</w:t>
            </w:r>
          </w:p>
        </w:tc>
        <w:tc>
          <w:tcPr>
            <w:tcW w:w="4860" w:type="dxa"/>
            <w:tcBorders>
              <w:top w:val="nil"/>
              <w:left w:val="nil"/>
              <w:bottom w:val="single" w:sz="4" w:space="0" w:color="auto"/>
              <w:right w:val="single" w:sz="4" w:space="0" w:color="auto"/>
            </w:tcBorders>
            <w:shd w:val="clear" w:color="auto" w:fill="auto"/>
            <w:noWrap/>
            <w:vAlign w:val="bottom"/>
            <w:hideMark/>
          </w:tcPr>
          <w:p w14:paraId="242CFDE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2.2.1 Conduct a training needs analysis</w:t>
            </w:r>
          </w:p>
        </w:tc>
        <w:tc>
          <w:tcPr>
            <w:tcW w:w="630" w:type="dxa"/>
            <w:tcBorders>
              <w:top w:val="nil"/>
              <w:left w:val="nil"/>
              <w:bottom w:val="single" w:sz="4" w:space="0" w:color="auto"/>
              <w:right w:val="single" w:sz="4" w:space="0" w:color="auto"/>
            </w:tcBorders>
            <w:shd w:val="clear" w:color="auto" w:fill="auto"/>
            <w:noWrap/>
            <w:vAlign w:val="bottom"/>
            <w:hideMark/>
          </w:tcPr>
          <w:p w14:paraId="6D1461D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1FABC1D"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B0F8F2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EF3DD94"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5C884DC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41BE0E4"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8F8DBA"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292302B1" w14:textId="77777777" w:rsidTr="0057222D">
        <w:trPr>
          <w:trHeight w:val="290"/>
        </w:trPr>
        <w:tc>
          <w:tcPr>
            <w:tcW w:w="3690" w:type="dxa"/>
            <w:vMerge/>
            <w:tcBorders>
              <w:top w:val="nil"/>
              <w:left w:val="single" w:sz="4" w:space="0" w:color="auto"/>
              <w:bottom w:val="single" w:sz="4" w:space="0" w:color="auto"/>
              <w:right w:val="single" w:sz="4" w:space="0" w:color="auto"/>
            </w:tcBorders>
            <w:vAlign w:val="center"/>
            <w:hideMark/>
          </w:tcPr>
          <w:p w14:paraId="710F6229"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7635C3D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2.2.2 Develop a training program</w:t>
            </w:r>
          </w:p>
        </w:tc>
        <w:tc>
          <w:tcPr>
            <w:tcW w:w="630" w:type="dxa"/>
            <w:tcBorders>
              <w:top w:val="nil"/>
              <w:left w:val="nil"/>
              <w:bottom w:val="single" w:sz="4" w:space="0" w:color="auto"/>
              <w:right w:val="single" w:sz="4" w:space="0" w:color="auto"/>
            </w:tcBorders>
            <w:shd w:val="clear" w:color="000000" w:fill="FFFF00"/>
            <w:noWrap/>
            <w:vAlign w:val="bottom"/>
            <w:hideMark/>
          </w:tcPr>
          <w:p w14:paraId="07A60BC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081DDB6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C77EF8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2C6BA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632AB14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7DF887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55834CB8"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15,000 </w:t>
            </w:r>
          </w:p>
        </w:tc>
      </w:tr>
      <w:tr w:rsidR="0057222D" w:rsidRPr="00D0082C" w14:paraId="7E1F0711" w14:textId="77777777" w:rsidTr="0057222D">
        <w:trPr>
          <w:trHeight w:val="290"/>
        </w:trPr>
        <w:tc>
          <w:tcPr>
            <w:tcW w:w="3690" w:type="dxa"/>
            <w:vMerge/>
            <w:tcBorders>
              <w:top w:val="nil"/>
              <w:left w:val="single" w:sz="4" w:space="0" w:color="auto"/>
              <w:bottom w:val="single" w:sz="4" w:space="0" w:color="auto"/>
              <w:right w:val="single" w:sz="4" w:space="0" w:color="auto"/>
            </w:tcBorders>
            <w:vAlign w:val="center"/>
            <w:hideMark/>
          </w:tcPr>
          <w:p w14:paraId="3F2AFD98"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6F4F7A05"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xml:space="preserve">2.2.3 Deliver traning activities </w:t>
            </w:r>
          </w:p>
        </w:tc>
        <w:tc>
          <w:tcPr>
            <w:tcW w:w="630" w:type="dxa"/>
            <w:tcBorders>
              <w:top w:val="nil"/>
              <w:left w:val="nil"/>
              <w:bottom w:val="single" w:sz="4" w:space="0" w:color="auto"/>
              <w:right w:val="single" w:sz="4" w:space="0" w:color="auto"/>
            </w:tcBorders>
            <w:shd w:val="clear" w:color="000000" w:fill="FFFF00"/>
            <w:noWrap/>
            <w:vAlign w:val="bottom"/>
            <w:hideMark/>
          </w:tcPr>
          <w:p w14:paraId="57090ECC"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1189810D"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63289A8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27BC04F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7317DAE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53612A7"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76942B"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13,000 </w:t>
            </w:r>
          </w:p>
        </w:tc>
      </w:tr>
      <w:tr w:rsidR="00D0082C" w:rsidRPr="00D0082C" w14:paraId="65C161EF"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75F020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2.2</w:t>
            </w:r>
          </w:p>
        </w:tc>
        <w:tc>
          <w:tcPr>
            <w:tcW w:w="1620" w:type="dxa"/>
            <w:tcBorders>
              <w:top w:val="nil"/>
              <w:left w:val="nil"/>
              <w:bottom w:val="single" w:sz="4" w:space="0" w:color="auto"/>
              <w:right w:val="single" w:sz="4" w:space="0" w:color="auto"/>
            </w:tcBorders>
            <w:shd w:val="clear" w:color="000000" w:fill="E7E6E6"/>
            <w:noWrap/>
            <w:vAlign w:val="bottom"/>
            <w:hideMark/>
          </w:tcPr>
          <w:p w14:paraId="62DD7AEB"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28,000 </w:t>
            </w:r>
          </w:p>
        </w:tc>
      </w:tr>
      <w:tr w:rsidR="0057222D" w:rsidRPr="00D0082C" w14:paraId="292D9218" w14:textId="77777777" w:rsidTr="0057222D">
        <w:trPr>
          <w:trHeight w:val="290"/>
        </w:trPr>
        <w:tc>
          <w:tcPr>
            <w:tcW w:w="3690" w:type="dxa"/>
            <w:tcBorders>
              <w:top w:val="nil"/>
              <w:left w:val="single" w:sz="4" w:space="0" w:color="auto"/>
              <w:bottom w:val="single" w:sz="4" w:space="0" w:color="auto"/>
              <w:right w:val="single" w:sz="4" w:space="0" w:color="auto"/>
            </w:tcBorders>
            <w:shd w:val="clear" w:color="000000" w:fill="E7E6E6"/>
            <w:noWrap/>
            <w:vAlign w:val="bottom"/>
            <w:hideMark/>
          </w:tcPr>
          <w:p w14:paraId="46D7027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TE portion</w:t>
            </w:r>
          </w:p>
        </w:tc>
        <w:tc>
          <w:tcPr>
            <w:tcW w:w="4860" w:type="dxa"/>
            <w:tcBorders>
              <w:top w:val="nil"/>
              <w:left w:val="nil"/>
              <w:bottom w:val="single" w:sz="4" w:space="0" w:color="auto"/>
              <w:right w:val="single" w:sz="4" w:space="0" w:color="auto"/>
            </w:tcBorders>
            <w:shd w:val="clear" w:color="000000" w:fill="E7E6E6"/>
            <w:noWrap/>
            <w:vAlign w:val="bottom"/>
            <w:hideMark/>
          </w:tcPr>
          <w:p w14:paraId="4187482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7DE7083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2332BA8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6C2A04B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230495A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000000" w:fill="E7E6E6"/>
            <w:noWrap/>
            <w:vAlign w:val="bottom"/>
            <w:hideMark/>
          </w:tcPr>
          <w:p w14:paraId="01ED531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0898D6F9"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000000" w:fill="E7E6E6"/>
            <w:noWrap/>
            <w:vAlign w:val="bottom"/>
            <w:hideMark/>
          </w:tcPr>
          <w:p w14:paraId="6A7BC47B"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10,020 </w:t>
            </w:r>
          </w:p>
        </w:tc>
      </w:tr>
      <w:tr w:rsidR="00D0082C" w:rsidRPr="00D0082C" w14:paraId="53E1A2E1"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44A7118" w14:textId="77777777" w:rsidR="00D0082C" w:rsidRPr="00D0082C" w:rsidRDefault="00D0082C" w:rsidP="00D0082C">
            <w:pPr>
              <w:spacing w:after="0" w:line="240" w:lineRule="auto"/>
              <w:rPr>
                <w:rFonts w:ascii="Calibri" w:eastAsia="Times New Roman" w:hAnsi="Calibri" w:cs="Calibri"/>
                <w:b/>
                <w:bCs/>
                <w:color w:val="000000"/>
              </w:rPr>
            </w:pPr>
            <w:r w:rsidRPr="00D0082C">
              <w:rPr>
                <w:rFonts w:ascii="Calibri" w:eastAsia="Times New Roman" w:hAnsi="Calibri" w:cs="Calibri"/>
                <w:b/>
                <w:bCs/>
                <w:color w:val="000000"/>
              </w:rPr>
              <w:t>Total Outcome 2</w:t>
            </w:r>
          </w:p>
        </w:tc>
        <w:tc>
          <w:tcPr>
            <w:tcW w:w="1620" w:type="dxa"/>
            <w:tcBorders>
              <w:top w:val="nil"/>
              <w:left w:val="nil"/>
              <w:bottom w:val="single" w:sz="4" w:space="0" w:color="auto"/>
              <w:right w:val="single" w:sz="4" w:space="0" w:color="auto"/>
            </w:tcBorders>
            <w:shd w:val="clear" w:color="000000" w:fill="D9E1F2"/>
            <w:noWrap/>
            <w:vAlign w:val="bottom"/>
            <w:hideMark/>
          </w:tcPr>
          <w:p w14:paraId="46E17F68" w14:textId="77777777"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              53,020 </w:t>
            </w:r>
          </w:p>
        </w:tc>
      </w:tr>
      <w:tr w:rsidR="00D0082C" w:rsidRPr="00D0082C" w14:paraId="4CDE4CB5" w14:textId="77777777" w:rsidTr="0057222D">
        <w:trPr>
          <w:trHeight w:val="290"/>
        </w:trPr>
        <w:tc>
          <w:tcPr>
            <w:tcW w:w="3690" w:type="dxa"/>
            <w:tcBorders>
              <w:top w:val="nil"/>
              <w:left w:val="single" w:sz="4" w:space="0" w:color="auto"/>
              <w:bottom w:val="nil"/>
              <w:right w:val="single" w:sz="4" w:space="0" w:color="auto"/>
            </w:tcBorders>
            <w:shd w:val="clear" w:color="000000" w:fill="FFC000"/>
            <w:noWrap/>
            <w:vAlign w:val="bottom"/>
            <w:hideMark/>
          </w:tcPr>
          <w:p w14:paraId="1232735F"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Outcome 3</w:t>
            </w:r>
          </w:p>
        </w:tc>
        <w:tc>
          <w:tcPr>
            <w:tcW w:w="10350" w:type="dxa"/>
            <w:gridSpan w:val="8"/>
            <w:tcBorders>
              <w:top w:val="single" w:sz="4" w:space="0" w:color="auto"/>
              <w:left w:val="nil"/>
              <w:bottom w:val="single" w:sz="4" w:space="0" w:color="auto"/>
              <w:right w:val="single" w:sz="4" w:space="0" w:color="000000"/>
            </w:tcBorders>
            <w:shd w:val="clear" w:color="000000" w:fill="FFC000"/>
            <w:noWrap/>
            <w:vAlign w:val="bottom"/>
            <w:hideMark/>
          </w:tcPr>
          <w:p w14:paraId="3480D0FD" w14:textId="77777777"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Improved decision-making mechanisms for the global environment institutionalized</w:t>
            </w:r>
          </w:p>
        </w:tc>
      </w:tr>
      <w:tr w:rsidR="0057222D" w:rsidRPr="00D0082C" w14:paraId="02783603" w14:textId="77777777" w:rsidTr="0057222D">
        <w:trPr>
          <w:trHeight w:val="290"/>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318A95"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Output 3.1: Key agencies and OERC mandates have been revised and strengthened to catalyze improved decision-making for the global environment.</w:t>
            </w:r>
          </w:p>
        </w:tc>
        <w:tc>
          <w:tcPr>
            <w:tcW w:w="4860" w:type="dxa"/>
            <w:tcBorders>
              <w:top w:val="nil"/>
              <w:left w:val="nil"/>
              <w:bottom w:val="single" w:sz="4" w:space="0" w:color="auto"/>
              <w:right w:val="single" w:sz="4" w:space="0" w:color="auto"/>
            </w:tcBorders>
            <w:shd w:val="clear" w:color="auto" w:fill="auto"/>
            <w:noWrap/>
            <w:vAlign w:val="bottom"/>
            <w:hideMark/>
          </w:tcPr>
          <w:p w14:paraId="129E2CE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3.1.1 Structure and support activities of a working group</w:t>
            </w:r>
          </w:p>
        </w:tc>
        <w:tc>
          <w:tcPr>
            <w:tcW w:w="630" w:type="dxa"/>
            <w:tcBorders>
              <w:top w:val="nil"/>
              <w:left w:val="nil"/>
              <w:bottom w:val="single" w:sz="4" w:space="0" w:color="auto"/>
              <w:right w:val="single" w:sz="4" w:space="0" w:color="auto"/>
            </w:tcBorders>
            <w:shd w:val="clear" w:color="000000" w:fill="FFFF00"/>
            <w:noWrap/>
            <w:vAlign w:val="bottom"/>
            <w:hideMark/>
          </w:tcPr>
          <w:p w14:paraId="592D6B4A"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3E79D9C3"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63A3EC8C"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22B6A77B"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00"/>
            <w:noWrap/>
            <w:vAlign w:val="bottom"/>
            <w:hideMark/>
          </w:tcPr>
          <w:p w14:paraId="5443CD62"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82B0F2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F224BD" w14:textId="61FC74F0"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3,720 </w:t>
            </w:r>
          </w:p>
        </w:tc>
      </w:tr>
      <w:tr w:rsidR="0057222D" w:rsidRPr="00D0082C" w14:paraId="64E6F1DE"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58BCD247"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5EDBC8AF"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xml:space="preserve">3.1.2   Review institutional mandates </w:t>
            </w:r>
          </w:p>
        </w:tc>
        <w:tc>
          <w:tcPr>
            <w:tcW w:w="630" w:type="dxa"/>
            <w:tcBorders>
              <w:top w:val="nil"/>
              <w:left w:val="nil"/>
              <w:bottom w:val="single" w:sz="4" w:space="0" w:color="auto"/>
              <w:right w:val="single" w:sz="4" w:space="0" w:color="auto"/>
            </w:tcBorders>
            <w:shd w:val="clear" w:color="auto" w:fill="auto"/>
            <w:noWrap/>
            <w:vAlign w:val="bottom"/>
            <w:hideMark/>
          </w:tcPr>
          <w:p w14:paraId="30AEB8B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39F127D6"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7392110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5A46D5F"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5004ACF4"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E6BE58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507009"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12,000 </w:t>
            </w:r>
          </w:p>
        </w:tc>
      </w:tr>
      <w:tr w:rsidR="0057222D" w:rsidRPr="00D0082C" w14:paraId="700D8387" w14:textId="77777777" w:rsidTr="0057222D">
        <w:trPr>
          <w:trHeight w:val="290"/>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0AD9C15F"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5EDC065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xml:space="preserve">3.1.3 Implement identified key opportunities </w:t>
            </w:r>
          </w:p>
        </w:tc>
        <w:tc>
          <w:tcPr>
            <w:tcW w:w="630" w:type="dxa"/>
            <w:tcBorders>
              <w:top w:val="nil"/>
              <w:left w:val="nil"/>
              <w:bottom w:val="single" w:sz="4" w:space="0" w:color="auto"/>
              <w:right w:val="single" w:sz="4" w:space="0" w:color="auto"/>
            </w:tcBorders>
            <w:shd w:val="clear" w:color="000000" w:fill="FFFF00"/>
            <w:noWrap/>
            <w:vAlign w:val="bottom"/>
            <w:hideMark/>
          </w:tcPr>
          <w:p w14:paraId="39EB4318"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1179B841"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059E4280"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2369D469"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00"/>
            <w:noWrap/>
            <w:vAlign w:val="bottom"/>
            <w:hideMark/>
          </w:tcPr>
          <w:p w14:paraId="2E06848E"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4B180F35" w14:textId="77777777" w:rsidR="00D0082C" w:rsidRPr="00D0082C" w:rsidRDefault="00D0082C" w:rsidP="00D0082C">
            <w:pPr>
              <w:spacing w:after="0" w:line="240" w:lineRule="auto"/>
              <w:rPr>
                <w:rFonts w:ascii="Calibri" w:eastAsia="Times New Roman" w:hAnsi="Calibri" w:cs="Calibri"/>
                <w:color w:val="000000"/>
                <w:sz w:val="18"/>
                <w:szCs w:val="18"/>
              </w:rPr>
            </w:pPr>
            <w:r w:rsidRPr="00D0082C">
              <w:rPr>
                <w:rFonts w:ascii="Calibri" w:eastAsia="Times New Roman" w:hAnsi="Calibri"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0C3300"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11,732 </w:t>
            </w:r>
          </w:p>
        </w:tc>
      </w:tr>
      <w:tr w:rsidR="00D0082C" w:rsidRPr="00D0082C" w14:paraId="32E1D955"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17BCE0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Subtotal 3.1</w:t>
            </w:r>
          </w:p>
        </w:tc>
        <w:tc>
          <w:tcPr>
            <w:tcW w:w="1620" w:type="dxa"/>
            <w:tcBorders>
              <w:top w:val="nil"/>
              <w:left w:val="nil"/>
              <w:bottom w:val="single" w:sz="4" w:space="0" w:color="auto"/>
              <w:right w:val="single" w:sz="4" w:space="0" w:color="auto"/>
            </w:tcBorders>
            <w:shd w:val="clear" w:color="000000" w:fill="E7E6E6"/>
            <w:noWrap/>
            <w:vAlign w:val="bottom"/>
            <w:hideMark/>
          </w:tcPr>
          <w:p w14:paraId="159C93E1"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27,452 </w:t>
            </w:r>
          </w:p>
        </w:tc>
      </w:tr>
      <w:tr w:rsidR="0057222D" w:rsidRPr="00D0082C" w14:paraId="43887FB8" w14:textId="77777777" w:rsidTr="0057222D">
        <w:trPr>
          <w:trHeight w:val="290"/>
        </w:trPr>
        <w:tc>
          <w:tcPr>
            <w:tcW w:w="3690" w:type="dxa"/>
            <w:tcBorders>
              <w:top w:val="nil"/>
              <w:left w:val="single" w:sz="4" w:space="0" w:color="auto"/>
              <w:bottom w:val="single" w:sz="4" w:space="0" w:color="auto"/>
              <w:right w:val="single" w:sz="4" w:space="0" w:color="auto"/>
            </w:tcBorders>
            <w:shd w:val="clear" w:color="000000" w:fill="E7E6E6"/>
            <w:noWrap/>
            <w:vAlign w:val="bottom"/>
            <w:hideMark/>
          </w:tcPr>
          <w:p w14:paraId="1D5B6D5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TE portion</w:t>
            </w:r>
          </w:p>
        </w:tc>
        <w:tc>
          <w:tcPr>
            <w:tcW w:w="4860" w:type="dxa"/>
            <w:tcBorders>
              <w:top w:val="nil"/>
              <w:left w:val="nil"/>
              <w:bottom w:val="single" w:sz="4" w:space="0" w:color="auto"/>
              <w:right w:val="single" w:sz="4" w:space="0" w:color="auto"/>
            </w:tcBorders>
            <w:shd w:val="clear" w:color="000000" w:fill="E7E6E6"/>
            <w:noWrap/>
            <w:vAlign w:val="bottom"/>
            <w:hideMark/>
          </w:tcPr>
          <w:p w14:paraId="577F80A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517811F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0654FAA9"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0520CA0A"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bottom"/>
            <w:hideMark/>
          </w:tcPr>
          <w:p w14:paraId="55F38E4A"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000000" w:fill="E7E6E6"/>
            <w:noWrap/>
            <w:vAlign w:val="bottom"/>
            <w:hideMark/>
          </w:tcPr>
          <w:p w14:paraId="7BA6909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E7E6E6"/>
            <w:noWrap/>
            <w:vAlign w:val="bottom"/>
            <w:hideMark/>
          </w:tcPr>
          <w:p w14:paraId="4006A7CF"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000000" w:fill="E7E6E6"/>
            <w:noWrap/>
            <w:vAlign w:val="bottom"/>
            <w:hideMark/>
          </w:tcPr>
          <w:p w14:paraId="5A6082D8"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5,000 </w:t>
            </w:r>
          </w:p>
        </w:tc>
      </w:tr>
      <w:tr w:rsidR="00D0082C" w:rsidRPr="00D0082C" w14:paraId="7A9E436F" w14:textId="77777777" w:rsidTr="0057222D">
        <w:trPr>
          <w:trHeight w:val="290"/>
        </w:trPr>
        <w:tc>
          <w:tcPr>
            <w:tcW w:w="12420" w:type="dxa"/>
            <w:gridSpan w:val="8"/>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6989B38" w14:textId="77777777" w:rsidR="00D0082C" w:rsidRPr="00D0082C" w:rsidRDefault="00D0082C" w:rsidP="00D0082C">
            <w:pPr>
              <w:spacing w:after="0" w:line="240" w:lineRule="auto"/>
              <w:rPr>
                <w:rFonts w:ascii="Calibri" w:eastAsia="Times New Roman" w:hAnsi="Calibri" w:cs="Calibri"/>
                <w:b/>
                <w:bCs/>
                <w:color w:val="000000"/>
              </w:rPr>
            </w:pPr>
            <w:r w:rsidRPr="00D0082C">
              <w:rPr>
                <w:rFonts w:ascii="Calibri" w:eastAsia="Times New Roman" w:hAnsi="Calibri" w:cs="Calibri"/>
                <w:b/>
                <w:bCs/>
                <w:color w:val="000000"/>
              </w:rPr>
              <w:t>Total Outcome 3</w:t>
            </w:r>
          </w:p>
        </w:tc>
        <w:tc>
          <w:tcPr>
            <w:tcW w:w="1620" w:type="dxa"/>
            <w:tcBorders>
              <w:top w:val="nil"/>
              <w:left w:val="nil"/>
              <w:bottom w:val="single" w:sz="4" w:space="0" w:color="auto"/>
              <w:right w:val="single" w:sz="4" w:space="0" w:color="auto"/>
            </w:tcBorders>
            <w:shd w:val="clear" w:color="000000" w:fill="D9E1F2"/>
            <w:noWrap/>
            <w:vAlign w:val="bottom"/>
            <w:hideMark/>
          </w:tcPr>
          <w:p w14:paraId="0787AA55" w14:textId="77777777"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xml:space="preserve">              32,452 </w:t>
            </w:r>
          </w:p>
        </w:tc>
      </w:tr>
      <w:tr w:rsidR="00D0082C" w:rsidRPr="00D0082C" w14:paraId="07997D5A" w14:textId="77777777" w:rsidTr="0057222D">
        <w:trPr>
          <w:trHeight w:val="290"/>
        </w:trPr>
        <w:tc>
          <w:tcPr>
            <w:tcW w:w="3690" w:type="dxa"/>
            <w:tcBorders>
              <w:top w:val="nil"/>
              <w:left w:val="single" w:sz="4" w:space="0" w:color="auto"/>
              <w:bottom w:val="nil"/>
              <w:right w:val="single" w:sz="4" w:space="0" w:color="auto"/>
            </w:tcBorders>
            <w:shd w:val="clear" w:color="000000" w:fill="FFC000"/>
            <w:noWrap/>
            <w:vAlign w:val="bottom"/>
            <w:hideMark/>
          </w:tcPr>
          <w:p w14:paraId="248E013F"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Other Cost Sharing Activities</w:t>
            </w:r>
          </w:p>
        </w:tc>
        <w:tc>
          <w:tcPr>
            <w:tcW w:w="10350" w:type="dxa"/>
            <w:gridSpan w:val="8"/>
            <w:tcBorders>
              <w:top w:val="single" w:sz="4" w:space="0" w:color="auto"/>
              <w:left w:val="nil"/>
              <w:bottom w:val="single" w:sz="4" w:space="0" w:color="auto"/>
              <w:right w:val="single" w:sz="4" w:space="0" w:color="000000"/>
            </w:tcBorders>
            <w:shd w:val="clear" w:color="000000" w:fill="FFC000"/>
            <w:noWrap/>
            <w:vAlign w:val="bottom"/>
            <w:hideMark/>
          </w:tcPr>
          <w:p w14:paraId="76D2948B" w14:textId="77777777" w:rsidR="00D0082C" w:rsidRPr="00D0082C" w:rsidRDefault="00D0082C" w:rsidP="0057222D">
            <w:pPr>
              <w:spacing w:after="0" w:line="240" w:lineRule="auto"/>
              <w:jc w:val="right"/>
              <w:rPr>
                <w:rFonts w:ascii="Calibri" w:eastAsia="Times New Roman" w:hAnsi="Calibri" w:cs="Calibri"/>
                <w:b/>
                <w:bCs/>
                <w:color w:val="000000"/>
              </w:rPr>
            </w:pPr>
            <w:r w:rsidRPr="00D0082C">
              <w:rPr>
                <w:rFonts w:ascii="Calibri" w:eastAsia="Times New Roman" w:hAnsi="Calibri" w:cs="Calibri"/>
                <w:b/>
                <w:bCs/>
                <w:color w:val="000000"/>
              </w:rPr>
              <w:t> </w:t>
            </w:r>
          </w:p>
        </w:tc>
      </w:tr>
      <w:tr w:rsidR="0057222D" w:rsidRPr="00D0082C" w14:paraId="4FFF5E55" w14:textId="77777777" w:rsidTr="0057222D">
        <w:trPr>
          <w:trHeight w:val="29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AC0E"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Audit</w:t>
            </w:r>
          </w:p>
        </w:tc>
        <w:tc>
          <w:tcPr>
            <w:tcW w:w="4860" w:type="dxa"/>
            <w:tcBorders>
              <w:top w:val="nil"/>
              <w:left w:val="nil"/>
              <w:bottom w:val="single" w:sz="4" w:space="0" w:color="auto"/>
              <w:right w:val="single" w:sz="4" w:space="0" w:color="auto"/>
            </w:tcBorders>
            <w:shd w:val="clear" w:color="auto" w:fill="auto"/>
            <w:noWrap/>
            <w:vAlign w:val="bottom"/>
            <w:hideMark/>
          </w:tcPr>
          <w:p w14:paraId="65575E10"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63C088DE"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6C4F8C8E"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2D0109B"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319EF3D"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4FBC456"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9A7F487" w14:textId="77777777" w:rsidR="00D0082C" w:rsidRPr="00D0082C" w:rsidRDefault="00D0082C" w:rsidP="00D0082C">
            <w:pPr>
              <w:spacing w:after="0" w:line="240" w:lineRule="auto"/>
              <w:jc w:val="center"/>
              <w:rPr>
                <w:rFonts w:ascii="Calibri" w:eastAsia="Times New Roman" w:hAnsi="Calibri" w:cs="Calibri"/>
                <w:b/>
                <w:bCs/>
                <w:color w:val="000000"/>
              </w:rPr>
            </w:pPr>
            <w:r w:rsidRPr="00D0082C">
              <w:rPr>
                <w:rFonts w:ascii="Calibri" w:eastAsia="Times New Roman" w:hAnsi="Calibri" w:cs="Calibri"/>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5CBE5B"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7,000</w:t>
            </w:r>
          </w:p>
        </w:tc>
      </w:tr>
      <w:tr w:rsidR="0057222D" w:rsidRPr="00D0082C" w14:paraId="2EF260DC" w14:textId="77777777" w:rsidTr="0057222D">
        <w:trPr>
          <w:trHeight w:val="290"/>
        </w:trPr>
        <w:tc>
          <w:tcPr>
            <w:tcW w:w="3690" w:type="dxa"/>
            <w:vMerge w:val="restart"/>
            <w:tcBorders>
              <w:top w:val="nil"/>
              <w:left w:val="single" w:sz="4" w:space="0" w:color="auto"/>
              <w:bottom w:val="single" w:sz="4" w:space="0" w:color="000000"/>
              <w:right w:val="single" w:sz="4" w:space="0" w:color="auto"/>
            </w:tcBorders>
            <w:shd w:val="clear" w:color="auto" w:fill="auto"/>
            <w:vAlign w:val="center"/>
            <w:hideMark/>
          </w:tcPr>
          <w:p w14:paraId="12D2C257"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Terminal Evaluation</w:t>
            </w:r>
          </w:p>
        </w:tc>
        <w:tc>
          <w:tcPr>
            <w:tcW w:w="4860" w:type="dxa"/>
            <w:tcBorders>
              <w:top w:val="nil"/>
              <w:left w:val="nil"/>
              <w:bottom w:val="single" w:sz="4" w:space="0" w:color="auto"/>
              <w:right w:val="single" w:sz="4" w:space="0" w:color="auto"/>
            </w:tcBorders>
            <w:shd w:val="clear" w:color="auto" w:fill="auto"/>
            <w:noWrap/>
            <w:vAlign w:val="bottom"/>
            <w:hideMark/>
          </w:tcPr>
          <w:p w14:paraId="3A7646D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draft TOR</w:t>
            </w:r>
          </w:p>
        </w:tc>
        <w:tc>
          <w:tcPr>
            <w:tcW w:w="630" w:type="dxa"/>
            <w:tcBorders>
              <w:top w:val="nil"/>
              <w:left w:val="nil"/>
              <w:bottom w:val="single" w:sz="4" w:space="0" w:color="auto"/>
              <w:right w:val="single" w:sz="4" w:space="0" w:color="auto"/>
            </w:tcBorders>
            <w:shd w:val="clear" w:color="000000" w:fill="FFFF00"/>
            <w:noWrap/>
            <w:vAlign w:val="bottom"/>
            <w:hideMark/>
          </w:tcPr>
          <w:p w14:paraId="6687972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ABE2A6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C6D819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11657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66F019D"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B9DCD63"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D116E"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r>
      <w:tr w:rsidR="0057222D" w:rsidRPr="00D0082C" w14:paraId="2724C7E1" w14:textId="77777777" w:rsidTr="0057222D">
        <w:trPr>
          <w:trHeight w:val="290"/>
        </w:trPr>
        <w:tc>
          <w:tcPr>
            <w:tcW w:w="3690" w:type="dxa"/>
            <w:vMerge/>
            <w:tcBorders>
              <w:top w:val="nil"/>
              <w:left w:val="single" w:sz="4" w:space="0" w:color="auto"/>
              <w:bottom w:val="single" w:sz="4" w:space="0" w:color="000000"/>
              <w:right w:val="single" w:sz="4" w:space="0" w:color="auto"/>
            </w:tcBorders>
            <w:vAlign w:val="center"/>
            <w:hideMark/>
          </w:tcPr>
          <w:p w14:paraId="237A9EBB"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3228385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Advertise TOR</w:t>
            </w:r>
          </w:p>
        </w:tc>
        <w:tc>
          <w:tcPr>
            <w:tcW w:w="630" w:type="dxa"/>
            <w:tcBorders>
              <w:top w:val="nil"/>
              <w:left w:val="nil"/>
              <w:bottom w:val="single" w:sz="4" w:space="0" w:color="auto"/>
              <w:right w:val="single" w:sz="4" w:space="0" w:color="auto"/>
            </w:tcBorders>
            <w:shd w:val="clear" w:color="000000" w:fill="FFFF00"/>
            <w:noWrap/>
            <w:vAlign w:val="bottom"/>
            <w:hideMark/>
          </w:tcPr>
          <w:p w14:paraId="4C0705C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447478E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34F342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091584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2F52D0E"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42CE5CEF"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tcBorders>
              <w:top w:val="nil"/>
              <w:left w:val="single" w:sz="4" w:space="0" w:color="auto"/>
              <w:bottom w:val="single" w:sz="4" w:space="0" w:color="000000"/>
              <w:right w:val="single" w:sz="4" w:space="0" w:color="auto"/>
            </w:tcBorders>
            <w:vAlign w:val="center"/>
            <w:hideMark/>
          </w:tcPr>
          <w:p w14:paraId="01D01791" w14:textId="77777777" w:rsidR="00D0082C" w:rsidRPr="00D0082C" w:rsidRDefault="00D0082C" w:rsidP="00D0082C">
            <w:pPr>
              <w:spacing w:after="0" w:line="240" w:lineRule="auto"/>
              <w:rPr>
                <w:rFonts w:ascii="Calibri" w:eastAsia="Times New Roman" w:hAnsi="Calibri" w:cs="Calibri"/>
                <w:color w:val="000000"/>
              </w:rPr>
            </w:pPr>
          </w:p>
        </w:tc>
      </w:tr>
      <w:tr w:rsidR="0057222D" w:rsidRPr="00D0082C" w14:paraId="42D07BA9" w14:textId="77777777" w:rsidTr="0057222D">
        <w:trPr>
          <w:trHeight w:val="290"/>
        </w:trPr>
        <w:tc>
          <w:tcPr>
            <w:tcW w:w="3690" w:type="dxa"/>
            <w:vMerge/>
            <w:tcBorders>
              <w:top w:val="nil"/>
              <w:left w:val="single" w:sz="4" w:space="0" w:color="auto"/>
              <w:bottom w:val="single" w:sz="4" w:space="0" w:color="000000"/>
              <w:right w:val="single" w:sz="4" w:space="0" w:color="auto"/>
            </w:tcBorders>
            <w:vAlign w:val="center"/>
            <w:hideMark/>
          </w:tcPr>
          <w:p w14:paraId="4914D10A"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3EA4565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xml:space="preserve">Complete recruitment </w:t>
            </w:r>
          </w:p>
        </w:tc>
        <w:tc>
          <w:tcPr>
            <w:tcW w:w="630" w:type="dxa"/>
            <w:tcBorders>
              <w:top w:val="nil"/>
              <w:left w:val="nil"/>
              <w:bottom w:val="single" w:sz="4" w:space="0" w:color="auto"/>
              <w:right w:val="single" w:sz="4" w:space="0" w:color="auto"/>
            </w:tcBorders>
            <w:shd w:val="clear" w:color="auto" w:fill="auto"/>
            <w:noWrap/>
            <w:vAlign w:val="bottom"/>
            <w:hideMark/>
          </w:tcPr>
          <w:p w14:paraId="4191C63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FFFF00"/>
            <w:noWrap/>
            <w:vAlign w:val="bottom"/>
            <w:hideMark/>
          </w:tcPr>
          <w:p w14:paraId="106DE7B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35E8EF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9EE0B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31F7731"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92C5ACF"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tcBorders>
              <w:top w:val="nil"/>
              <w:left w:val="single" w:sz="4" w:space="0" w:color="auto"/>
              <w:bottom w:val="single" w:sz="4" w:space="0" w:color="000000"/>
              <w:right w:val="single" w:sz="4" w:space="0" w:color="auto"/>
            </w:tcBorders>
            <w:vAlign w:val="center"/>
            <w:hideMark/>
          </w:tcPr>
          <w:p w14:paraId="75A48007" w14:textId="77777777" w:rsidR="00D0082C" w:rsidRPr="00D0082C" w:rsidRDefault="00D0082C" w:rsidP="00D0082C">
            <w:pPr>
              <w:spacing w:after="0" w:line="240" w:lineRule="auto"/>
              <w:rPr>
                <w:rFonts w:ascii="Calibri" w:eastAsia="Times New Roman" w:hAnsi="Calibri" w:cs="Calibri"/>
                <w:color w:val="000000"/>
              </w:rPr>
            </w:pPr>
          </w:p>
        </w:tc>
      </w:tr>
      <w:tr w:rsidR="0057222D" w:rsidRPr="00D0082C" w14:paraId="0E4ED941" w14:textId="77777777" w:rsidTr="0057222D">
        <w:trPr>
          <w:trHeight w:val="290"/>
        </w:trPr>
        <w:tc>
          <w:tcPr>
            <w:tcW w:w="3690" w:type="dxa"/>
            <w:vMerge/>
            <w:tcBorders>
              <w:top w:val="nil"/>
              <w:left w:val="single" w:sz="4" w:space="0" w:color="auto"/>
              <w:bottom w:val="single" w:sz="4" w:space="0" w:color="000000"/>
              <w:right w:val="single" w:sz="4" w:space="0" w:color="auto"/>
            </w:tcBorders>
            <w:vAlign w:val="center"/>
            <w:hideMark/>
          </w:tcPr>
          <w:p w14:paraId="5324EA9E"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4A49A2A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Evaluation mission</w:t>
            </w:r>
          </w:p>
        </w:tc>
        <w:tc>
          <w:tcPr>
            <w:tcW w:w="630" w:type="dxa"/>
            <w:tcBorders>
              <w:top w:val="nil"/>
              <w:left w:val="nil"/>
              <w:bottom w:val="single" w:sz="4" w:space="0" w:color="auto"/>
              <w:right w:val="single" w:sz="4" w:space="0" w:color="auto"/>
            </w:tcBorders>
            <w:shd w:val="clear" w:color="auto" w:fill="auto"/>
            <w:noWrap/>
            <w:vAlign w:val="bottom"/>
            <w:hideMark/>
          </w:tcPr>
          <w:p w14:paraId="05F12EFF"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0A48FB5"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1429C68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B2169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81967C3"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AE7391"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tcBorders>
              <w:top w:val="nil"/>
              <w:left w:val="single" w:sz="4" w:space="0" w:color="auto"/>
              <w:bottom w:val="single" w:sz="4" w:space="0" w:color="000000"/>
              <w:right w:val="single" w:sz="4" w:space="0" w:color="auto"/>
            </w:tcBorders>
            <w:vAlign w:val="center"/>
            <w:hideMark/>
          </w:tcPr>
          <w:p w14:paraId="6C943F57" w14:textId="77777777" w:rsidR="00D0082C" w:rsidRPr="00D0082C" w:rsidRDefault="00D0082C" w:rsidP="00D0082C">
            <w:pPr>
              <w:spacing w:after="0" w:line="240" w:lineRule="auto"/>
              <w:rPr>
                <w:rFonts w:ascii="Calibri" w:eastAsia="Times New Roman" w:hAnsi="Calibri" w:cs="Calibri"/>
                <w:color w:val="000000"/>
              </w:rPr>
            </w:pPr>
          </w:p>
        </w:tc>
      </w:tr>
      <w:tr w:rsidR="0057222D" w:rsidRPr="00D0082C" w14:paraId="25AAFEB8" w14:textId="77777777" w:rsidTr="0057222D">
        <w:trPr>
          <w:trHeight w:val="290"/>
        </w:trPr>
        <w:tc>
          <w:tcPr>
            <w:tcW w:w="3690" w:type="dxa"/>
            <w:vMerge/>
            <w:tcBorders>
              <w:top w:val="nil"/>
              <w:left w:val="single" w:sz="4" w:space="0" w:color="auto"/>
              <w:bottom w:val="single" w:sz="4" w:space="0" w:color="000000"/>
              <w:right w:val="single" w:sz="4" w:space="0" w:color="auto"/>
            </w:tcBorders>
            <w:vAlign w:val="center"/>
            <w:hideMark/>
          </w:tcPr>
          <w:p w14:paraId="01F154C7"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224E18A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draft TE</w:t>
            </w:r>
          </w:p>
        </w:tc>
        <w:tc>
          <w:tcPr>
            <w:tcW w:w="630" w:type="dxa"/>
            <w:tcBorders>
              <w:top w:val="nil"/>
              <w:left w:val="nil"/>
              <w:bottom w:val="single" w:sz="4" w:space="0" w:color="auto"/>
              <w:right w:val="single" w:sz="4" w:space="0" w:color="auto"/>
            </w:tcBorders>
            <w:shd w:val="clear" w:color="auto" w:fill="auto"/>
            <w:noWrap/>
            <w:vAlign w:val="bottom"/>
            <w:hideMark/>
          </w:tcPr>
          <w:p w14:paraId="2915A28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E0810C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679251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FFFF00"/>
            <w:noWrap/>
            <w:vAlign w:val="bottom"/>
            <w:hideMark/>
          </w:tcPr>
          <w:p w14:paraId="0090F266"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3AFDD03"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CBEB182"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tcBorders>
              <w:top w:val="nil"/>
              <w:left w:val="single" w:sz="4" w:space="0" w:color="auto"/>
              <w:bottom w:val="single" w:sz="4" w:space="0" w:color="000000"/>
              <w:right w:val="single" w:sz="4" w:space="0" w:color="auto"/>
            </w:tcBorders>
            <w:vAlign w:val="center"/>
            <w:hideMark/>
          </w:tcPr>
          <w:p w14:paraId="5AAC7901" w14:textId="77777777" w:rsidR="00D0082C" w:rsidRPr="00D0082C" w:rsidRDefault="00D0082C" w:rsidP="00D0082C">
            <w:pPr>
              <w:spacing w:after="0" w:line="240" w:lineRule="auto"/>
              <w:rPr>
                <w:rFonts w:ascii="Calibri" w:eastAsia="Times New Roman" w:hAnsi="Calibri" w:cs="Calibri"/>
                <w:color w:val="000000"/>
              </w:rPr>
            </w:pPr>
          </w:p>
        </w:tc>
      </w:tr>
      <w:tr w:rsidR="0057222D" w:rsidRPr="00D0082C" w14:paraId="4BDB6105" w14:textId="77777777" w:rsidTr="0057222D">
        <w:trPr>
          <w:trHeight w:val="290"/>
        </w:trPr>
        <w:tc>
          <w:tcPr>
            <w:tcW w:w="3690" w:type="dxa"/>
            <w:vMerge/>
            <w:tcBorders>
              <w:top w:val="nil"/>
              <w:left w:val="single" w:sz="4" w:space="0" w:color="auto"/>
              <w:bottom w:val="single" w:sz="4" w:space="0" w:color="000000"/>
              <w:right w:val="single" w:sz="4" w:space="0" w:color="auto"/>
            </w:tcBorders>
            <w:vAlign w:val="center"/>
            <w:hideMark/>
          </w:tcPr>
          <w:p w14:paraId="2BFAAD24" w14:textId="77777777" w:rsidR="00D0082C" w:rsidRPr="00D0082C" w:rsidRDefault="00D0082C" w:rsidP="00D0082C">
            <w:pPr>
              <w:spacing w:after="0" w:line="240" w:lineRule="auto"/>
              <w:rPr>
                <w:rFonts w:ascii="Calibri" w:eastAsia="Times New Roman" w:hAnsi="Calibri" w:cs="Calibri"/>
                <w:color w:val="000000"/>
              </w:rPr>
            </w:pPr>
          </w:p>
        </w:tc>
        <w:tc>
          <w:tcPr>
            <w:tcW w:w="4860" w:type="dxa"/>
            <w:tcBorders>
              <w:top w:val="nil"/>
              <w:left w:val="nil"/>
              <w:bottom w:val="single" w:sz="4" w:space="0" w:color="auto"/>
              <w:right w:val="single" w:sz="4" w:space="0" w:color="auto"/>
            </w:tcBorders>
            <w:shd w:val="clear" w:color="auto" w:fill="auto"/>
            <w:noWrap/>
            <w:vAlign w:val="bottom"/>
            <w:hideMark/>
          </w:tcPr>
          <w:p w14:paraId="4AD0FED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Final TE report</w:t>
            </w:r>
          </w:p>
        </w:tc>
        <w:tc>
          <w:tcPr>
            <w:tcW w:w="630" w:type="dxa"/>
            <w:tcBorders>
              <w:top w:val="nil"/>
              <w:left w:val="nil"/>
              <w:bottom w:val="single" w:sz="4" w:space="0" w:color="auto"/>
              <w:right w:val="single" w:sz="4" w:space="0" w:color="auto"/>
            </w:tcBorders>
            <w:shd w:val="clear" w:color="auto" w:fill="auto"/>
            <w:noWrap/>
            <w:vAlign w:val="bottom"/>
            <w:hideMark/>
          </w:tcPr>
          <w:p w14:paraId="4ECC6F5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3D9420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C65744"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40E8DF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000000" w:fill="FFFF00"/>
            <w:noWrap/>
            <w:vAlign w:val="bottom"/>
            <w:hideMark/>
          </w:tcPr>
          <w:p w14:paraId="5D681FE7"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E9CDA73" w14:textId="77777777" w:rsidR="00D0082C" w:rsidRPr="00D0082C" w:rsidRDefault="00D0082C" w:rsidP="00D0082C">
            <w:pPr>
              <w:spacing w:after="0" w:line="240" w:lineRule="auto"/>
              <w:jc w:val="center"/>
              <w:rPr>
                <w:rFonts w:ascii="Calibri" w:eastAsia="Times New Roman" w:hAnsi="Calibri" w:cs="Calibri"/>
                <w:color w:val="000000"/>
              </w:rPr>
            </w:pPr>
            <w:r w:rsidRPr="00D0082C">
              <w:rPr>
                <w:rFonts w:ascii="Calibri" w:eastAsia="Times New Roman" w:hAnsi="Calibri" w:cs="Calibri"/>
                <w:color w:val="000000"/>
              </w:rPr>
              <w:t> </w:t>
            </w:r>
          </w:p>
        </w:tc>
        <w:tc>
          <w:tcPr>
            <w:tcW w:w="1620" w:type="dxa"/>
            <w:vMerge/>
            <w:tcBorders>
              <w:top w:val="nil"/>
              <w:left w:val="single" w:sz="4" w:space="0" w:color="auto"/>
              <w:bottom w:val="single" w:sz="4" w:space="0" w:color="000000"/>
              <w:right w:val="single" w:sz="4" w:space="0" w:color="auto"/>
            </w:tcBorders>
            <w:vAlign w:val="center"/>
            <w:hideMark/>
          </w:tcPr>
          <w:p w14:paraId="62755F71" w14:textId="77777777" w:rsidR="00D0082C" w:rsidRPr="00D0082C" w:rsidRDefault="00D0082C" w:rsidP="00D0082C">
            <w:pPr>
              <w:spacing w:after="0" w:line="240" w:lineRule="auto"/>
              <w:rPr>
                <w:rFonts w:ascii="Calibri" w:eastAsia="Times New Roman" w:hAnsi="Calibri" w:cs="Calibri"/>
                <w:color w:val="000000"/>
              </w:rPr>
            </w:pPr>
          </w:p>
        </w:tc>
      </w:tr>
      <w:tr w:rsidR="0057222D" w:rsidRPr="00D0082C" w14:paraId="391BB704" w14:textId="77777777" w:rsidTr="0057222D">
        <w:trPr>
          <w:trHeight w:val="320"/>
        </w:trPr>
        <w:tc>
          <w:tcPr>
            <w:tcW w:w="3690" w:type="dxa"/>
            <w:tcBorders>
              <w:top w:val="nil"/>
              <w:left w:val="single" w:sz="4" w:space="0" w:color="auto"/>
              <w:bottom w:val="single" w:sz="4" w:space="0" w:color="auto"/>
              <w:right w:val="nil"/>
            </w:tcBorders>
            <w:shd w:val="clear" w:color="000000" w:fill="D9E1F2"/>
            <w:noWrap/>
            <w:vAlign w:val="bottom"/>
            <w:hideMark/>
          </w:tcPr>
          <w:p w14:paraId="3A25D70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Total Other Costs</w:t>
            </w:r>
          </w:p>
        </w:tc>
        <w:tc>
          <w:tcPr>
            <w:tcW w:w="4860" w:type="dxa"/>
            <w:tcBorders>
              <w:top w:val="nil"/>
              <w:left w:val="nil"/>
              <w:bottom w:val="single" w:sz="4" w:space="0" w:color="auto"/>
              <w:right w:val="nil"/>
            </w:tcBorders>
            <w:shd w:val="clear" w:color="000000" w:fill="D9E1F2"/>
            <w:noWrap/>
            <w:vAlign w:val="bottom"/>
            <w:hideMark/>
          </w:tcPr>
          <w:p w14:paraId="58B71C0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000000" w:fill="D9E1F2"/>
            <w:noWrap/>
            <w:vAlign w:val="bottom"/>
            <w:hideMark/>
          </w:tcPr>
          <w:p w14:paraId="03BC303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000000" w:fill="D9E1F2"/>
            <w:noWrap/>
            <w:vAlign w:val="bottom"/>
            <w:hideMark/>
          </w:tcPr>
          <w:p w14:paraId="65933DE5"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nil"/>
            </w:tcBorders>
            <w:shd w:val="clear" w:color="000000" w:fill="D9E1F2"/>
            <w:noWrap/>
            <w:vAlign w:val="bottom"/>
            <w:hideMark/>
          </w:tcPr>
          <w:p w14:paraId="5CBA5AB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nil"/>
            </w:tcBorders>
            <w:shd w:val="clear" w:color="000000" w:fill="D9E1F2"/>
            <w:noWrap/>
            <w:vAlign w:val="bottom"/>
            <w:hideMark/>
          </w:tcPr>
          <w:p w14:paraId="74365D1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nil"/>
            </w:tcBorders>
            <w:shd w:val="clear" w:color="000000" w:fill="D9E1F2"/>
            <w:noWrap/>
            <w:vAlign w:val="bottom"/>
            <w:hideMark/>
          </w:tcPr>
          <w:p w14:paraId="649D3F6C"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000000" w:fill="D9E1F2"/>
            <w:noWrap/>
            <w:vAlign w:val="bottom"/>
            <w:hideMark/>
          </w:tcPr>
          <w:p w14:paraId="7F9701F3"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1620" w:type="dxa"/>
            <w:tcBorders>
              <w:top w:val="nil"/>
              <w:left w:val="single" w:sz="4" w:space="0" w:color="auto"/>
              <w:bottom w:val="single" w:sz="4" w:space="0" w:color="auto"/>
              <w:right w:val="single" w:sz="4" w:space="0" w:color="auto"/>
            </w:tcBorders>
            <w:shd w:val="clear" w:color="000000" w:fill="D9E1F2"/>
            <w:noWrap/>
            <w:vAlign w:val="bottom"/>
            <w:hideMark/>
          </w:tcPr>
          <w:p w14:paraId="5F32C0CF" w14:textId="77777777" w:rsidR="00D0082C" w:rsidRPr="00D0082C" w:rsidRDefault="00D0082C" w:rsidP="00D0082C">
            <w:pPr>
              <w:spacing w:after="0" w:line="240" w:lineRule="auto"/>
              <w:jc w:val="right"/>
              <w:rPr>
                <w:rFonts w:ascii="Calibri" w:eastAsia="Times New Roman" w:hAnsi="Calibri" w:cs="Calibri"/>
                <w:b/>
                <w:bCs/>
                <w:color w:val="000000"/>
                <w:sz w:val="24"/>
                <w:szCs w:val="24"/>
              </w:rPr>
            </w:pPr>
            <w:r w:rsidRPr="00D0082C">
              <w:rPr>
                <w:rFonts w:ascii="Calibri" w:eastAsia="Times New Roman" w:hAnsi="Calibri" w:cs="Calibri"/>
                <w:b/>
                <w:bCs/>
                <w:color w:val="000000"/>
                <w:sz w:val="24"/>
                <w:szCs w:val="24"/>
              </w:rPr>
              <w:t>7,000</w:t>
            </w:r>
          </w:p>
        </w:tc>
      </w:tr>
      <w:tr w:rsidR="0057222D" w:rsidRPr="00D0082C" w14:paraId="66BDCA32" w14:textId="77777777" w:rsidTr="0057222D">
        <w:trPr>
          <w:trHeight w:val="290"/>
        </w:trPr>
        <w:tc>
          <w:tcPr>
            <w:tcW w:w="3690" w:type="dxa"/>
            <w:tcBorders>
              <w:top w:val="nil"/>
              <w:left w:val="single" w:sz="4" w:space="0" w:color="auto"/>
              <w:bottom w:val="single" w:sz="4" w:space="0" w:color="auto"/>
              <w:right w:val="nil"/>
            </w:tcBorders>
            <w:shd w:val="clear" w:color="auto" w:fill="auto"/>
            <w:noWrap/>
            <w:vAlign w:val="bottom"/>
            <w:hideMark/>
          </w:tcPr>
          <w:p w14:paraId="7748EAEB"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Total for all Technical Activities</w:t>
            </w:r>
          </w:p>
        </w:tc>
        <w:tc>
          <w:tcPr>
            <w:tcW w:w="4860" w:type="dxa"/>
            <w:tcBorders>
              <w:top w:val="nil"/>
              <w:left w:val="nil"/>
              <w:bottom w:val="single" w:sz="4" w:space="0" w:color="auto"/>
              <w:right w:val="nil"/>
            </w:tcBorders>
            <w:shd w:val="clear" w:color="auto" w:fill="auto"/>
            <w:noWrap/>
            <w:vAlign w:val="bottom"/>
            <w:hideMark/>
          </w:tcPr>
          <w:p w14:paraId="43692AB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auto" w:fill="auto"/>
            <w:noWrap/>
            <w:vAlign w:val="bottom"/>
            <w:hideMark/>
          </w:tcPr>
          <w:p w14:paraId="349967C2"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auto" w:fill="auto"/>
            <w:noWrap/>
            <w:vAlign w:val="bottom"/>
            <w:hideMark/>
          </w:tcPr>
          <w:p w14:paraId="7C2E41CF"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nil"/>
            </w:tcBorders>
            <w:shd w:val="clear" w:color="auto" w:fill="auto"/>
            <w:noWrap/>
            <w:vAlign w:val="bottom"/>
            <w:hideMark/>
          </w:tcPr>
          <w:p w14:paraId="159F9538"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720" w:type="dxa"/>
            <w:tcBorders>
              <w:top w:val="nil"/>
              <w:left w:val="nil"/>
              <w:bottom w:val="single" w:sz="4" w:space="0" w:color="auto"/>
              <w:right w:val="nil"/>
            </w:tcBorders>
            <w:shd w:val="clear" w:color="auto" w:fill="auto"/>
            <w:noWrap/>
            <w:vAlign w:val="bottom"/>
            <w:hideMark/>
          </w:tcPr>
          <w:p w14:paraId="262C31EE"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540" w:type="dxa"/>
            <w:tcBorders>
              <w:top w:val="nil"/>
              <w:left w:val="nil"/>
              <w:bottom w:val="single" w:sz="4" w:space="0" w:color="auto"/>
              <w:right w:val="nil"/>
            </w:tcBorders>
            <w:shd w:val="clear" w:color="auto" w:fill="auto"/>
            <w:noWrap/>
            <w:vAlign w:val="bottom"/>
            <w:hideMark/>
          </w:tcPr>
          <w:p w14:paraId="08842DDD"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630" w:type="dxa"/>
            <w:tcBorders>
              <w:top w:val="nil"/>
              <w:left w:val="nil"/>
              <w:bottom w:val="single" w:sz="4" w:space="0" w:color="auto"/>
              <w:right w:val="nil"/>
            </w:tcBorders>
            <w:shd w:val="clear" w:color="auto" w:fill="auto"/>
            <w:noWrap/>
            <w:vAlign w:val="bottom"/>
            <w:hideMark/>
          </w:tcPr>
          <w:p w14:paraId="51E025D1"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17950D" w14:textId="484C2619"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161,647 </w:t>
            </w:r>
          </w:p>
        </w:tc>
      </w:tr>
      <w:tr w:rsidR="0057222D" w:rsidRPr="00D0082C" w14:paraId="67F29945" w14:textId="77777777" w:rsidTr="0057222D">
        <w:trPr>
          <w:trHeight w:val="290"/>
        </w:trPr>
        <w:tc>
          <w:tcPr>
            <w:tcW w:w="3690" w:type="dxa"/>
            <w:tcBorders>
              <w:top w:val="nil"/>
              <w:left w:val="nil"/>
              <w:bottom w:val="nil"/>
              <w:right w:val="nil"/>
            </w:tcBorders>
            <w:shd w:val="clear" w:color="auto" w:fill="auto"/>
            <w:noWrap/>
            <w:vAlign w:val="bottom"/>
            <w:hideMark/>
          </w:tcPr>
          <w:p w14:paraId="1A02BC07"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Project DPC</w:t>
            </w:r>
          </w:p>
        </w:tc>
        <w:tc>
          <w:tcPr>
            <w:tcW w:w="4860" w:type="dxa"/>
            <w:tcBorders>
              <w:top w:val="nil"/>
              <w:left w:val="nil"/>
              <w:bottom w:val="nil"/>
              <w:right w:val="nil"/>
            </w:tcBorders>
            <w:shd w:val="clear" w:color="auto" w:fill="auto"/>
            <w:noWrap/>
            <w:vAlign w:val="bottom"/>
            <w:hideMark/>
          </w:tcPr>
          <w:p w14:paraId="75F4268A" w14:textId="77777777" w:rsidR="00D0082C" w:rsidRPr="00D0082C" w:rsidRDefault="00D0082C" w:rsidP="00D0082C">
            <w:pPr>
              <w:spacing w:after="0" w:line="240" w:lineRule="auto"/>
              <w:rPr>
                <w:rFonts w:ascii="Calibri" w:eastAsia="Times New Roman" w:hAnsi="Calibri" w:cs="Calibri"/>
                <w:color w:val="000000"/>
              </w:rPr>
            </w:pPr>
          </w:p>
        </w:tc>
        <w:tc>
          <w:tcPr>
            <w:tcW w:w="630" w:type="dxa"/>
            <w:tcBorders>
              <w:top w:val="nil"/>
              <w:left w:val="nil"/>
              <w:bottom w:val="nil"/>
              <w:right w:val="nil"/>
            </w:tcBorders>
            <w:shd w:val="clear" w:color="auto" w:fill="auto"/>
            <w:noWrap/>
            <w:vAlign w:val="bottom"/>
            <w:hideMark/>
          </w:tcPr>
          <w:p w14:paraId="32777FB5"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D6B1B19"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0FB477B"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2F1F268"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6ED4683"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7B706E0"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38F9FCE" w14:textId="77777777"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942</w:t>
            </w:r>
          </w:p>
        </w:tc>
      </w:tr>
      <w:tr w:rsidR="0057222D" w:rsidRPr="00D0082C" w14:paraId="7D063477" w14:textId="77777777" w:rsidTr="0057222D">
        <w:trPr>
          <w:trHeight w:val="290"/>
        </w:trPr>
        <w:tc>
          <w:tcPr>
            <w:tcW w:w="3690" w:type="dxa"/>
            <w:tcBorders>
              <w:top w:val="nil"/>
              <w:left w:val="nil"/>
              <w:bottom w:val="nil"/>
              <w:right w:val="nil"/>
            </w:tcBorders>
            <w:shd w:val="clear" w:color="auto" w:fill="auto"/>
            <w:noWrap/>
            <w:vAlign w:val="bottom"/>
            <w:hideMark/>
          </w:tcPr>
          <w:p w14:paraId="60EEDA95"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Operations</w:t>
            </w:r>
          </w:p>
        </w:tc>
        <w:tc>
          <w:tcPr>
            <w:tcW w:w="4860" w:type="dxa"/>
            <w:tcBorders>
              <w:top w:val="nil"/>
              <w:left w:val="nil"/>
              <w:bottom w:val="nil"/>
              <w:right w:val="nil"/>
            </w:tcBorders>
            <w:shd w:val="clear" w:color="auto" w:fill="auto"/>
            <w:noWrap/>
            <w:vAlign w:val="bottom"/>
            <w:hideMark/>
          </w:tcPr>
          <w:p w14:paraId="46448342" w14:textId="77777777" w:rsidR="00D0082C" w:rsidRPr="00D0082C" w:rsidRDefault="00D0082C" w:rsidP="00D0082C">
            <w:pPr>
              <w:spacing w:after="0" w:line="240" w:lineRule="auto"/>
              <w:rPr>
                <w:rFonts w:ascii="Calibri" w:eastAsia="Times New Roman" w:hAnsi="Calibri" w:cs="Calibri"/>
                <w:color w:val="000000"/>
              </w:rPr>
            </w:pPr>
          </w:p>
        </w:tc>
        <w:tc>
          <w:tcPr>
            <w:tcW w:w="630" w:type="dxa"/>
            <w:tcBorders>
              <w:top w:val="nil"/>
              <w:left w:val="nil"/>
              <w:bottom w:val="nil"/>
              <w:right w:val="nil"/>
            </w:tcBorders>
            <w:shd w:val="clear" w:color="auto" w:fill="auto"/>
            <w:noWrap/>
            <w:vAlign w:val="bottom"/>
            <w:hideMark/>
          </w:tcPr>
          <w:p w14:paraId="4D6C61DA"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1F2D118"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B4C6AF2"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DAFAEF6"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7D806B0"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5853009"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1906F2E" w14:textId="251B0FFD" w:rsidR="00D0082C" w:rsidRPr="00D0082C" w:rsidRDefault="00D0082C" w:rsidP="0057222D">
            <w:pPr>
              <w:spacing w:after="0" w:line="240" w:lineRule="auto"/>
              <w:jc w:val="right"/>
              <w:rPr>
                <w:rFonts w:ascii="Calibri" w:eastAsia="Times New Roman" w:hAnsi="Calibri" w:cs="Calibri"/>
                <w:color w:val="000000"/>
              </w:rPr>
            </w:pPr>
            <w:r w:rsidRPr="00D0082C">
              <w:rPr>
                <w:rFonts w:ascii="Calibri" w:eastAsia="Times New Roman" w:hAnsi="Calibri" w:cs="Calibri"/>
                <w:color w:val="000000"/>
              </w:rPr>
              <w:t xml:space="preserve">           4,163.00</w:t>
            </w:r>
          </w:p>
        </w:tc>
      </w:tr>
      <w:tr w:rsidR="0057222D" w:rsidRPr="00D0082C" w14:paraId="440EC645" w14:textId="77777777" w:rsidTr="0057222D">
        <w:trPr>
          <w:trHeight w:val="310"/>
        </w:trPr>
        <w:tc>
          <w:tcPr>
            <w:tcW w:w="3690" w:type="dxa"/>
            <w:tcBorders>
              <w:top w:val="nil"/>
              <w:left w:val="nil"/>
              <w:bottom w:val="nil"/>
              <w:right w:val="nil"/>
            </w:tcBorders>
            <w:shd w:val="clear" w:color="auto" w:fill="auto"/>
            <w:noWrap/>
            <w:vAlign w:val="bottom"/>
            <w:hideMark/>
          </w:tcPr>
          <w:p w14:paraId="7217A3A0" w14:textId="77777777" w:rsidR="00D0082C" w:rsidRPr="00D0082C" w:rsidRDefault="00D0082C" w:rsidP="00D0082C">
            <w:pPr>
              <w:spacing w:after="0" w:line="240" w:lineRule="auto"/>
              <w:rPr>
                <w:rFonts w:ascii="Calibri" w:eastAsia="Times New Roman" w:hAnsi="Calibri" w:cs="Calibri"/>
                <w:color w:val="000000"/>
              </w:rPr>
            </w:pPr>
            <w:r w:rsidRPr="00D0082C">
              <w:rPr>
                <w:rFonts w:ascii="Calibri" w:eastAsia="Times New Roman" w:hAnsi="Calibri" w:cs="Calibri"/>
                <w:color w:val="000000"/>
              </w:rPr>
              <w:t>Total across project</w:t>
            </w:r>
          </w:p>
        </w:tc>
        <w:tc>
          <w:tcPr>
            <w:tcW w:w="4860" w:type="dxa"/>
            <w:tcBorders>
              <w:top w:val="nil"/>
              <w:left w:val="nil"/>
              <w:bottom w:val="nil"/>
              <w:right w:val="nil"/>
            </w:tcBorders>
            <w:shd w:val="clear" w:color="auto" w:fill="auto"/>
            <w:noWrap/>
            <w:vAlign w:val="bottom"/>
            <w:hideMark/>
          </w:tcPr>
          <w:p w14:paraId="0FED2EA2" w14:textId="77777777" w:rsidR="00D0082C" w:rsidRPr="00D0082C" w:rsidRDefault="00D0082C" w:rsidP="00D0082C">
            <w:pPr>
              <w:spacing w:after="0" w:line="240" w:lineRule="auto"/>
              <w:rPr>
                <w:rFonts w:ascii="Calibri" w:eastAsia="Times New Roman" w:hAnsi="Calibri" w:cs="Calibri"/>
                <w:color w:val="000000"/>
              </w:rPr>
            </w:pPr>
          </w:p>
        </w:tc>
        <w:tc>
          <w:tcPr>
            <w:tcW w:w="630" w:type="dxa"/>
            <w:tcBorders>
              <w:top w:val="nil"/>
              <w:left w:val="nil"/>
              <w:bottom w:val="nil"/>
              <w:right w:val="nil"/>
            </w:tcBorders>
            <w:shd w:val="clear" w:color="auto" w:fill="auto"/>
            <w:noWrap/>
            <w:vAlign w:val="bottom"/>
            <w:hideMark/>
          </w:tcPr>
          <w:p w14:paraId="1922B9EC"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44347A2"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41FF4D6"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59006732"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F83BE81"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3056CB" w14:textId="77777777" w:rsidR="00D0082C" w:rsidRPr="00D0082C" w:rsidRDefault="00D0082C" w:rsidP="00D0082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000000" w:fill="DDEBF7"/>
            <w:noWrap/>
            <w:vAlign w:val="bottom"/>
            <w:hideMark/>
          </w:tcPr>
          <w:p w14:paraId="657E945E" w14:textId="77777777" w:rsidR="00D0082C" w:rsidRPr="00D0082C" w:rsidRDefault="00D0082C" w:rsidP="00D0082C">
            <w:pPr>
              <w:spacing w:after="0" w:line="240" w:lineRule="auto"/>
              <w:rPr>
                <w:rFonts w:ascii="Calibri" w:eastAsia="Times New Roman" w:hAnsi="Calibri" w:cs="Calibri"/>
                <w:b/>
                <w:bCs/>
                <w:color w:val="000000"/>
                <w:sz w:val="24"/>
                <w:szCs w:val="24"/>
              </w:rPr>
            </w:pPr>
            <w:r w:rsidRPr="00D0082C">
              <w:rPr>
                <w:rFonts w:ascii="Calibri" w:eastAsia="Times New Roman" w:hAnsi="Calibri" w:cs="Calibri"/>
                <w:b/>
                <w:bCs/>
                <w:color w:val="000000"/>
                <w:sz w:val="24"/>
                <w:szCs w:val="24"/>
              </w:rPr>
              <w:t xml:space="preserve">    166,752.00 </w:t>
            </w:r>
          </w:p>
        </w:tc>
      </w:tr>
    </w:tbl>
    <w:p w14:paraId="57E7790E" w14:textId="661BE992" w:rsidR="00D0082C" w:rsidRDefault="00D0082C" w:rsidP="0057222D">
      <w:pPr>
        <w:rPr>
          <w:i/>
          <w:iCs/>
        </w:rPr>
      </w:pPr>
    </w:p>
    <w:sectPr w:rsidR="00D0082C" w:rsidSect="0057222D">
      <w:pgSz w:w="15840" w:h="12240" w:orient="landscape" w:code="1"/>
      <w:pgMar w:top="634"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5789" w14:textId="77777777" w:rsidR="004F30F2" w:rsidRDefault="004F30F2" w:rsidP="00B85166">
      <w:pPr>
        <w:spacing w:after="0" w:line="240" w:lineRule="auto"/>
      </w:pPr>
      <w:r>
        <w:separator/>
      </w:r>
    </w:p>
  </w:endnote>
  <w:endnote w:type="continuationSeparator" w:id="0">
    <w:p w14:paraId="3DCC50A8" w14:textId="77777777" w:rsidR="004F30F2" w:rsidRDefault="004F30F2" w:rsidP="00B85166">
      <w:pPr>
        <w:spacing w:after="0" w:line="240" w:lineRule="auto"/>
      </w:pPr>
      <w:r>
        <w:continuationSeparator/>
      </w:r>
    </w:p>
  </w:endnote>
  <w:endnote w:type="continuationNotice" w:id="1">
    <w:p w14:paraId="288B6420" w14:textId="77777777" w:rsidR="004F30F2" w:rsidRDefault="004F3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implified Arabic Fixed">
    <w:charset w:val="B2"/>
    <w:family w:val="modern"/>
    <w:pitch w:val="fixed"/>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773370"/>
      <w:docPartObj>
        <w:docPartGallery w:val="Page Numbers (Bottom of Page)"/>
        <w:docPartUnique/>
      </w:docPartObj>
    </w:sdtPr>
    <w:sdtEndPr>
      <w:rPr>
        <w:noProof/>
      </w:rPr>
    </w:sdtEndPr>
    <w:sdtContent>
      <w:p w14:paraId="68636310" w14:textId="04C04C9C" w:rsidR="00D0082C" w:rsidRDefault="00D0082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419D1FE" w14:textId="77777777" w:rsidR="00D0082C" w:rsidRDefault="00D0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3DB5" w14:textId="77777777" w:rsidR="004F30F2" w:rsidRDefault="004F30F2" w:rsidP="00B85166">
      <w:pPr>
        <w:spacing w:after="0" w:line="240" w:lineRule="auto"/>
      </w:pPr>
      <w:r>
        <w:separator/>
      </w:r>
    </w:p>
  </w:footnote>
  <w:footnote w:type="continuationSeparator" w:id="0">
    <w:p w14:paraId="1F964B44" w14:textId="77777777" w:rsidR="004F30F2" w:rsidRDefault="004F30F2" w:rsidP="00B85166">
      <w:pPr>
        <w:spacing w:after="0" w:line="240" w:lineRule="auto"/>
      </w:pPr>
      <w:r>
        <w:continuationSeparator/>
      </w:r>
    </w:p>
  </w:footnote>
  <w:footnote w:type="continuationNotice" w:id="1">
    <w:p w14:paraId="13D25CE3" w14:textId="77777777" w:rsidR="004F30F2" w:rsidRDefault="004F3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C2C5" w14:textId="77777777" w:rsidR="00D0082C" w:rsidRDefault="00D0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231"/>
    <w:multiLevelType w:val="hybridMultilevel"/>
    <w:tmpl w:val="22DE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220D5"/>
    <w:multiLevelType w:val="hybridMultilevel"/>
    <w:tmpl w:val="3270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1629"/>
    <w:multiLevelType w:val="hybridMultilevel"/>
    <w:tmpl w:val="90C8C3F8"/>
    <w:lvl w:ilvl="0" w:tplc="04090009">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15:restartNumberingAfterBreak="0">
    <w:nsid w:val="18F80A70"/>
    <w:multiLevelType w:val="hybridMultilevel"/>
    <w:tmpl w:val="0F8E26A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E87"/>
    <w:multiLevelType w:val="hybridMultilevel"/>
    <w:tmpl w:val="3C18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D6D92"/>
    <w:multiLevelType w:val="hybridMultilevel"/>
    <w:tmpl w:val="2CEE0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AF8"/>
    <w:multiLevelType w:val="hybridMultilevel"/>
    <w:tmpl w:val="9036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C40CC"/>
    <w:multiLevelType w:val="hybridMultilevel"/>
    <w:tmpl w:val="FC2252CC"/>
    <w:lvl w:ilvl="0" w:tplc="57B2DCE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2" w15:restartNumberingAfterBreak="0">
    <w:nsid w:val="254B6FDC"/>
    <w:multiLevelType w:val="multilevel"/>
    <w:tmpl w:val="2774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32C21"/>
    <w:multiLevelType w:val="hybridMultilevel"/>
    <w:tmpl w:val="FBC6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83870"/>
    <w:multiLevelType w:val="hybridMultilevel"/>
    <w:tmpl w:val="B900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312D7"/>
    <w:multiLevelType w:val="hybridMultilevel"/>
    <w:tmpl w:val="FFEA6BBA"/>
    <w:lvl w:ilvl="0" w:tplc="0409000B">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6" w15:restartNumberingAfterBreak="0">
    <w:nsid w:val="329E1A9F"/>
    <w:multiLevelType w:val="hybridMultilevel"/>
    <w:tmpl w:val="1B62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107A"/>
    <w:multiLevelType w:val="hybridMultilevel"/>
    <w:tmpl w:val="2516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5ED6"/>
    <w:multiLevelType w:val="hybridMultilevel"/>
    <w:tmpl w:val="A82A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D26BC"/>
    <w:multiLevelType w:val="hybridMultilevel"/>
    <w:tmpl w:val="DD3E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83EF7"/>
    <w:multiLevelType w:val="hybridMultilevel"/>
    <w:tmpl w:val="27A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F1350D"/>
    <w:multiLevelType w:val="hybridMultilevel"/>
    <w:tmpl w:val="B628D008"/>
    <w:lvl w:ilvl="0" w:tplc="C1009C38">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3" w15:restartNumberingAfterBreak="0">
    <w:nsid w:val="535408CD"/>
    <w:multiLevelType w:val="hybridMultilevel"/>
    <w:tmpl w:val="673A9790"/>
    <w:lvl w:ilvl="0" w:tplc="D8A01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07595"/>
    <w:multiLevelType w:val="hybridMultilevel"/>
    <w:tmpl w:val="42C60776"/>
    <w:lvl w:ilvl="0" w:tplc="0409000B">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5" w15:restartNumberingAfterBreak="0">
    <w:nsid w:val="634A57D1"/>
    <w:multiLevelType w:val="hybridMultilevel"/>
    <w:tmpl w:val="A7700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64868"/>
    <w:multiLevelType w:val="hybridMultilevel"/>
    <w:tmpl w:val="A3FC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31378"/>
    <w:multiLevelType w:val="hybridMultilevel"/>
    <w:tmpl w:val="D726517C"/>
    <w:lvl w:ilvl="0" w:tplc="08090005">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8" w15:restartNumberingAfterBreak="0">
    <w:nsid w:val="68BB2149"/>
    <w:multiLevelType w:val="hybridMultilevel"/>
    <w:tmpl w:val="46ACC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03FEB"/>
    <w:multiLevelType w:val="hybridMultilevel"/>
    <w:tmpl w:val="210AE124"/>
    <w:lvl w:ilvl="0" w:tplc="0409000F">
      <w:start w:val="1"/>
      <w:numFmt w:val="decimal"/>
      <w:lvlText w:val="%1."/>
      <w:lvlJc w:val="left"/>
      <w:pPr>
        <w:tabs>
          <w:tab w:val="num" w:pos="360"/>
        </w:tabs>
        <w:ind w:left="360" w:hanging="360"/>
      </w:p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66A0875"/>
    <w:multiLevelType w:val="multilevel"/>
    <w:tmpl w:val="7AD4A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434A7"/>
    <w:multiLevelType w:val="hybridMultilevel"/>
    <w:tmpl w:val="8466BB02"/>
    <w:lvl w:ilvl="0" w:tplc="2C983E3A">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3"/>
  </w:num>
  <w:num w:numId="2">
    <w:abstractNumId w:val="31"/>
  </w:num>
  <w:num w:numId="3">
    <w:abstractNumId w:val="2"/>
  </w:num>
  <w:num w:numId="4">
    <w:abstractNumId w:val="7"/>
  </w:num>
  <w:num w:numId="5">
    <w:abstractNumId w:val="1"/>
  </w:num>
  <w:num w:numId="6">
    <w:abstractNumId w:val="21"/>
  </w:num>
  <w:num w:numId="7">
    <w:abstractNumId w:val="10"/>
  </w:num>
  <w:num w:numId="8">
    <w:abstractNumId w:val="5"/>
  </w:num>
  <w:num w:numId="9">
    <w:abstractNumId w:val="20"/>
  </w:num>
  <w:num w:numId="10">
    <w:abstractNumId w:val="24"/>
  </w:num>
  <w:num w:numId="11">
    <w:abstractNumId w:val="32"/>
  </w:num>
  <w:num w:numId="12">
    <w:abstractNumId w:val="0"/>
  </w:num>
  <w:num w:numId="13">
    <w:abstractNumId w:val="17"/>
  </w:num>
  <w:num w:numId="14">
    <w:abstractNumId w:val="4"/>
  </w:num>
  <w:num w:numId="15">
    <w:abstractNumId w:val="26"/>
  </w:num>
  <w:num w:numId="16">
    <w:abstractNumId w:val="30"/>
  </w:num>
  <w:num w:numId="17">
    <w:abstractNumId w:val="11"/>
  </w:num>
  <w:num w:numId="18">
    <w:abstractNumId w:val="12"/>
  </w:num>
  <w:num w:numId="19">
    <w:abstractNumId w:val="29"/>
  </w:num>
  <w:num w:numId="20">
    <w:abstractNumId w:val="13"/>
  </w:num>
  <w:num w:numId="21">
    <w:abstractNumId w:val="16"/>
  </w:num>
  <w:num w:numId="22">
    <w:abstractNumId w:val="18"/>
  </w:num>
  <w:num w:numId="23">
    <w:abstractNumId w:val="9"/>
  </w:num>
  <w:num w:numId="24">
    <w:abstractNumId w:val="8"/>
  </w:num>
  <w:num w:numId="25">
    <w:abstractNumId w:val="25"/>
  </w:num>
  <w:num w:numId="26">
    <w:abstractNumId w:val="28"/>
  </w:num>
  <w:num w:numId="27">
    <w:abstractNumId w:val="6"/>
  </w:num>
  <w:num w:numId="28">
    <w:abstractNumId w:val="27"/>
  </w:num>
  <w:num w:numId="29">
    <w:abstractNumId w:val="22"/>
  </w:num>
  <w:num w:numId="30">
    <w:abstractNumId w:val="15"/>
  </w:num>
  <w:num w:numId="31">
    <w:abstractNumId w:val="23"/>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DA"/>
    <w:rsid w:val="00001C63"/>
    <w:rsid w:val="000328DF"/>
    <w:rsid w:val="00033E3A"/>
    <w:rsid w:val="00036E91"/>
    <w:rsid w:val="0005369B"/>
    <w:rsid w:val="000551C4"/>
    <w:rsid w:val="00065F2C"/>
    <w:rsid w:val="000725DE"/>
    <w:rsid w:val="000750CC"/>
    <w:rsid w:val="00092489"/>
    <w:rsid w:val="00095CFB"/>
    <w:rsid w:val="00095D1E"/>
    <w:rsid w:val="000A2B5E"/>
    <w:rsid w:val="000A454D"/>
    <w:rsid w:val="000A7CCC"/>
    <w:rsid w:val="000B24F9"/>
    <w:rsid w:val="000B5214"/>
    <w:rsid w:val="000B6016"/>
    <w:rsid w:val="000C21C2"/>
    <w:rsid w:val="000C76E7"/>
    <w:rsid w:val="000D0EF2"/>
    <w:rsid w:val="000E0D07"/>
    <w:rsid w:val="00104065"/>
    <w:rsid w:val="00107545"/>
    <w:rsid w:val="001117C4"/>
    <w:rsid w:val="001155A9"/>
    <w:rsid w:val="0012771F"/>
    <w:rsid w:val="001307B7"/>
    <w:rsid w:val="00131C0A"/>
    <w:rsid w:val="00132DE7"/>
    <w:rsid w:val="0014372F"/>
    <w:rsid w:val="001504B0"/>
    <w:rsid w:val="0015080D"/>
    <w:rsid w:val="001538E0"/>
    <w:rsid w:val="001724C3"/>
    <w:rsid w:val="00187FF1"/>
    <w:rsid w:val="001A1ACE"/>
    <w:rsid w:val="001A79E8"/>
    <w:rsid w:val="001B02D6"/>
    <w:rsid w:val="001B2899"/>
    <w:rsid w:val="001B2F70"/>
    <w:rsid w:val="001B5DFF"/>
    <w:rsid w:val="001B6AD7"/>
    <w:rsid w:val="001D121F"/>
    <w:rsid w:val="001D35CA"/>
    <w:rsid w:val="001D541E"/>
    <w:rsid w:val="001E7773"/>
    <w:rsid w:val="001F039A"/>
    <w:rsid w:val="001F6785"/>
    <w:rsid w:val="00203720"/>
    <w:rsid w:val="00211D2E"/>
    <w:rsid w:val="0021505E"/>
    <w:rsid w:val="00216681"/>
    <w:rsid w:val="00223885"/>
    <w:rsid w:val="00226AB6"/>
    <w:rsid w:val="002466A7"/>
    <w:rsid w:val="00256DF4"/>
    <w:rsid w:val="00261E18"/>
    <w:rsid w:val="0026225D"/>
    <w:rsid w:val="002801AD"/>
    <w:rsid w:val="00280B3E"/>
    <w:rsid w:val="00290D56"/>
    <w:rsid w:val="00293371"/>
    <w:rsid w:val="0029426C"/>
    <w:rsid w:val="002A06EB"/>
    <w:rsid w:val="002A3348"/>
    <w:rsid w:val="002B07E3"/>
    <w:rsid w:val="002B1F31"/>
    <w:rsid w:val="002C0909"/>
    <w:rsid w:val="002C4FCF"/>
    <w:rsid w:val="002D7D91"/>
    <w:rsid w:val="002E5BA8"/>
    <w:rsid w:val="002F3058"/>
    <w:rsid w:val="002F605C"/>
    <w:rsid w:val="002F6CA4"/>
    <w:rsid w:val="0030170F"/>
    <w:rsid w:val="00303E10"/>
    <w:rsid w:val="003067E7"/>
    <w:rsid w:val="00312CCA"/>
    <w:rsid w:val="003132AB"/>
    <w:rsid w:val="0033209B"/>
    <w:rsid w:val="00335AC0"/>
    <w:rsid w:val="00336305"/>
    <w:rsid w:val="00336B9D"/>
    <w:rsid w:val="0034755F"/>
    <w:rsid w:val="00360B6C"/>
    <w:rsid w:val="003632FE"/>
    <w:rsid w:val="00363871"/>
    <w:rsid w:val="00376891"/>
    <w:rsid w:val="003846BD"/>
    <w:rsid w:val="00387A79"/>
    <w:rsid w:val="00391DD6"/>
    <w:rsid w:val="003A2088"/>
    <w:rsid w:val="003B06CA"/>
    <w:rsid w:val="003B2CBF"/>
    <w:rsid w:val="003B788B"/>
    <w:rsid w:val="003C01C9"/>
    <w:rsid w:val="003C3BDA"/>
    <w:rsid w:val="003E49E1"/>
    <w:rsid w:val="003F22A7"/>
    <w:rsid w:val="003F4633"/>
    <w:rsid w:val="0040097B"/>
    <w:rsid w:val="00402984"/>
    <w:rsid w:val="00417807"/>
    <w:rsid w:val="00427CEB"/>
    <w:rsid w:val="0043094B"/>
    <w:rsid w:val="00433D93"/>
    <w:rsid w:val="00441B72"/>
    <w:rsid w:val="00445A63"/>
    <w:rsid w:val="004503DA"/>
    <w:rsid w:val="00454337"/>
    <w:rsid w:val="00454F2F"/>
    <w:rsid w:val="00457C3C"/>
    <w:rsid w:val="0047648D"/>
    <w:rsid w:val="004A1B04"/>
    <w:rsid w:val="004B5081"/>
    <w:rsid w:val="004B69BB"/>
    <w:rsid w:val="004B72B8"/>
    <w:rsid w:val="004D6E6F"/>
    <w:rsid w:val="004F0FB0"/>
    <w:rsid w:val="004F30F2"/>
    <w:rsid w:val="0050119C"/>
    <w:rsid w:val="00502C56"/>
    <w:rsid w:val="00504269"/>
    <w:rsid w:val="00524C38"/>
    <w:rsid w:val="00525BAB"/>
    <w:rsid w:val="00561341"/>
    <w:rsid w:val="00565D94"/>
    <w:rsid w:val="0057222D"/>
    <w:rsid w:val="00573253"/>
    <w:rsid w:val="005765D1"/>
    <w:rsid w:val="005A14EC"/>
    <w:rsid w:val="005A6335"/>
    <w:rsid w:val="005C0EE5"/>
    <w:rsid w:val="005C257B"/>
    <w:rsid w:val="005C63B3"/>
    <w:rsid w:val="005D275C"/>
    <w:rsid w:val="00600DF0"/>
    <w:rsid w:val="006031D6"/>
    <w:rsid w:val="00606419"/>
    <w:rsid w:val="0061366F"/>
    <w:rsid w:val="00622488"/>
    <w:rsid w:val="00624D71"/>
    <w:rsid w:val="00667E31"/>
    <w:rsid w:val="006872F3"/>
    <w:rsid w:val="006935F9"/>
    <w:rsid w:val="00694E43"/>
    <w:rsid w:val="00695CA5"/>
    <w:rsid w:val="006A1250"/>
    <w:rsid w:val="006A3395"/>
    <w:rsid w:val="006B5616"/>
    <w:rsid w:val="006C1518"/>
    <w:rsid w:val="006E124D"/>
    <w:rsid w:val="006F2312"/>
    <w:rsid w:val="006F2B37"/>
    <w:rsid w:val="006F48BD"/>
    <w:rsid w:val="0070189B"/>
    <w:rsid w:val="00705193"/>
    <w:rsid w:val="00740B00"/>
    <w:rsid w:val="007434A7"/>
    <w:rsid w:val="007560FC"/>
    <w:rsid w:val="007A30ED"/>
    <w:rsid w:val="007A3F7F"/>
    <w:rsid w:val="007D7825"/>
    <w:rsid w:val="007E1577"/>
    <w:rsid w:val="007E3CB0"/>
    <w:rsid w:val="007E4B44"/>
    <w:rsid w:val="007E556A"/>
    <w:rsid w:val="007E5F99"/>
    <w:rsid w:val="00804803"/>
    <w:rsid w:val="00807190"/>
    <w:rsid w:val="00810347"/>
    <w:rsid w:val="00817978"/>
    <w:rsid w:val="008235A6"/>
    <w:rsid w:val="00826F42"/>
    <w:rsid w:val="00830537"/>
    <w:rsid w:val="0084003D"/>
    <w:rsid w:val="008441B8"/>
    <w:rsid w:val="00844D42"/>
    <w:rsid w:val="00846AA3"/>
    <w:rsid w:val="008805B9"/>
    <w:rsid w:val="008834D4"/>
    <w:rsid w:val="00895687"/>
    <w:rsid w:val="008B3F8F"/>
    <w:rsid w:val="008B7C93"/>
    <w:rsid w:val="008D0834"/>
    <w:rsid w:val="008D18BC"/>
    <w:rsid w:val="008D5A26"/>
    <w:rsid w:val="008D653D"/>
    <w:rsid w:val="008E496D"/>
    <w:rsid w:val="008E7FDE"/>
    <w:rsid w:val="008F1B4A"/>
    <w:rsid w:val="008F27B0"/>
    <w:rsid w:val="008F2CFB"/>
    <w:rsid w:val="008F5BCD"/>
    <w:rsid w:val="0090114B"/>
    <w:rsid w:val="00901A9C"/>
    <w:rsid w:val="0090446E"/>
    <w:rsid w:val="00912D05"/>
    <w:rsid w:val="00914B6E"/>
    <w:rsid w:val="00943EBF"/>
    <w:rsid w:val="00944AE4"/>
    <w:rsid w:val="00944EFB"/>
    <w:rsid w:val="00945BE2"/>
    <w:rsid w:val="009563D8"/>
    <w:rsid w:val="009613A7"/>
    <w:rsid w:val="00966365"/>
    <w:rsid w:val="0097387B"/>
    <w:rsid w:val="0097701F"/>
    <w:rsid w:val="009864B0"/>
    <w:rsid w:val="009A016C"/>
    <w:rsid w:val="009A0D6F"/>
    <w:rsid w:val="009A15B8"/>
    <w:rsid w:val="009A24C0"/>
    <w:rsid w:val="009A262E"/>
    <w:rsid w:val="009A3BBF"/>
    <w:rsid w:val="009A4503"/>
    <w:rsid w:val="009B5BCC"/>
    <w:rsid w:val="009B65A7"/>
    <w:rsid w:val="009C7F08"/>
    <w:rsid w:val="009D0279"/>
    <w:rsid w:val="009D67E5"/>
    <w:rsid w:val="009D74C0"/>
    <w:rsid w:val="009E08AC"/>
    <w:rsid w:val="009E2D2D"/>
    <w:rsid w:val="009E3C5A"/>
    <w:rsid w:val="009F49FE"/>
    <w:rsid w:val="009F5B50"/>
    <w:rsid w:val="00A02973"/>
    <w:rsid w:val="00A0380E"/>
    <w:rsid w:val="00A05DEC"/>
    <w:rsid w:val="00A172C9"/>
    <w:rsid w:val="00A264FD"/>
    <w:rsid w:val="00A326B5"/>
    <w:rsid w:val="00A3400F"/>
    <w:rsid w:val="00A3686E"/>
    <w:rsid w:val="00A43931"/>
    <w:rsid w:val="00A53CF7"/>
    <w:rsid w:val="00A5585F"/>
    <w:rsid w:val="00A62BE5"/>
    <w:rsid w:val="00A72D2C"/>
    <w:rsid w:val="00A830C6"/>
    <w:rsid w:val="00A90747"/>
    <w:rsid w:val="00A91587"/>
    <w:rsid w:val="00A95569"/>
    <w:rsid w:val="00A9688C"/>
    <w:rsid w:val="00AA5236"/>
    <w:rsid w:val="00AA5478"/>
    <w:rsid w:val="00AA6728"/>
    <w:rsid w:val="00AB220B"/>
    <w:rsid w:val="00AB2B14"/>
    <w:rsid w:val="00AC10C3"/>
    <w:rsid w:val="00AC1B5E"/>
    <w:rsid w:val="00AC3FC3"/>
    <w:rsid w:val="00AD6256"/>
    <w:rsid w:val="00AD6464"/>
    <w:rsid w:val="00AE110D"/>
    <w:rsid w:val="00AF718E"/>
    <w:rsid w:val="00B02538"/>
    <w:rsid w:val="00B25D7B"/>
    <w:rsid w:val="00B43743"/>
    <w:rsid w:val="00B512B9"/>
    <w:rsid w:val="00B51559"/>
    <w:rsid w:val="00B51F53"/>
    <w:rsid w:val="00B62A04"/>
    <w:rsid w:val="00B80F50"/>
    <w:rsid w:val="00B85166"/>
    <w:rsid w:val="00B8586D"/>
    <w:rsid w:val="00B91D28"/>
    <w:rsid w:val="00B942DC"/>
    <w:rsid w:val="00B97D6C"/>
    <w:rsid w:val="00BA1537"/>
    <w:rsid w:val="00BA3693"/>
    <w:rsid w:val="00BB5310"/>
    <w:rsid w:val="00BB5D8E"/>
    <w:rsid w:val="00BC1AD9"/>
    <w:rsid w:val="00BC6B09"/>
    <w:rsid w:val="00BD4564"/>
    <w:rsid w:val="00BE68B1"/>
    <w:rsid w:val="00BF0ED0"/>
    <w:rsid w:val="00BF2723"/>
    <w:rsid w:val="00C10704"/>
    <w:rsid w:val="00C13D7E"/>
    <w:rsid w:val="00C21D21"/>
    <w:rsid w:val="00C25D4A"/>
    <w:rsid w:val="00C33BB8"/>
    <w:rsid w:val="00C5394C"/>
    <w:rsid w:val="00C62189"/>
    <w:rsid w:val="00C62A85"/>
    <w:rsid w:val="00C63987"/>
    <w:rsid w:val="00C70A2B"/>
    <w:rsid w:val="00C720C7"/>
    <w:rsid w:val="00C826DE"/>
    <w:rsid w:val="00C920E8"/>
    <w:rsid w:val="00C94DD6"/>
    <w:rsid w:val="00C9610E"/>
    <w:rsid w:val="00CD70CB"/>
    <w:rsid w:val="00CE2B5C"/>
    <w:rsid w:val="00D0082C"/>
    <w:rsid w:val="00D073A3"/>
    <w:rsid w:val="00D07943"/>
    <w:rsid w:val="00D260B7"/>
    <w:rsid w:val="00D35F58"/>
    <w:rsid w:val="00D56BC1"/>
    <w:rsid w:val="00D712ED"/>
    <w:rsid w:val="00D9355E"/>
    <w:rsid w:val="00DA6EE5"/>
    <w:rsid w:val="00DB284D"/>
    <w:rsid w:val="00DB3E5D"/>
    <w:rsid w:val="00DB52A7"/>
    <w:rsid w:val="00DB7E27"/>
    <w:rsid w:val="00DC3AC1"/>
    <w:rsid w:val="00DC6AC3"/>
    <w:rsid w:val="00DD49C7"/>
    <w:rsid w:val="00DE23C2"/>
    <w:rsid w:val="00E107E3"/>
    <w:rsid w:val="00E3448A"/>
    <w:rsid w:val="00E35843"/>
    <w:rsid w:val="00E41950"/>
    <w:rsid w:val="00E41ECA"/>
    <w:rsid w:val="00E42749"/>
    <w:rsid w:val="00E605DC"/>
    <w:rsid w:val="00E64496"/>
    <w:rsid w:val="00E72099"/>
    <w:rsid w:val="00E76C49"/>
    <w:rsid w:val="00E835FE"/>
    <w:rsid w:val="00E84890"/>
    <w:rsid w:val="00EA4761"/>
    <w:rsid w:val="00EA5963"/>
    <w:rsid w:val="00EA6A1D"/>
    <w:rsid w:val="00EB6E24"/>
    <w:rsid w:val="00EE00CE"/>
    <w:rsid w:val="00EF745C"/>
    <w:rsid w:val="00F0337A"/>
    <w:rsid w:val="00F03DD5"/>
    <w:rsid w:val="00F07E8E"/>
    <w:rsid w:val="00F376C3"/>
    <w:rsid w:val="00F5260D"/>
    <w:rsid w:val="00F54E98"/>
    <w:rsid w:val="00F722BF"/>
    <w:rsid w:val="00F91E5A"/>
    <w:rsid w:val="00F96702"/>
    <w:rsid w:val="00F9699E"/>
    <w:rsid w:val="00FA55EC"/>
    <w:rsid w:val="00FC3A59"/>
    <w:rsid w:val="00FD0CE7"/>
    <w:rsid w:val="00FE7B11"/>
    <w:rsid w:val="00FF6D1C"/>
    <w:rsid w:val="4687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4DCAD"/>
  <w15:docId w15:val="{8B76C26E-F191-47BB-9316-9CE9CDB6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uiPriority w:val="99"/>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B85166"/>
    <w:rPr>
      <w:rFonts w:ascii="Myriad Pro" w:eastAsia="Times New Roman" w:hAnsi="Myriad Pro" w:cs="Simplified Arabic Fixed"/>
      <w:noProof/>
      <w:sz w:val="18"/>
      <w:szCs w:val="20"/>
    </w:rPr>
  </w:style>
  <w:style w:type="table" w:styleId="TableGrid">
    <w:name w:val="Table Grid"/>
    <w:basedOn w:val="TableNormal"/>
    <w:uiPriority w:val="39"/>
    <w:rsid w:val="0022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2466A7"/>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2466A7"/>
    <w:rPr>
      <w:rFonts w:ascii="Times New Roman" w:eastAsia="Times New Roman" w:hAnsi="Times New Roman" w:cs="Times New Roman"/>
      <w:szCs w:val="24"/>
    </w:rPr>
  </w:style>
  <w:style w:type="paragraph" w:styleId="Header">
    <w:name w:val="header"/>
    <w:basedOn w:val="Normal"/>
    <w:link w:val="HeaderChar"/>
    <w:uiPriority w:val="99"/>
    <w:unhideWhenUsed/>
    <w:rsid w:val="00AB2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0B"/>
  </w:style>
  <w:style w:type="character" w:customStyle="1" w:styleId="UnresolvedMention1">
    <w:name w:val="Unresolved Mention1"/>
    <w:basedOn w:val="DefaultParagraphFont"/>
    <w:uiPriority w:val="99"/>
    <w:semiHidden/>
    <w:unhideWhenUsed/>
    <w:rsid w:val="00502C56"/>
    <w:rPr>
      <w:color w:val="808080"/>
      <w:shd w:val="clear" w:color="auto" w:fill="E6E6E6"/>
    </w:rPr>
  </w:style>
  <w:style w:type="character" w:styleId="FollowedHyperlink">
    <w:name w:val="FollowedHyperlink"/>
    <w:basedOn w:val="DefaultParagraphFont"/>
    <w:uiPriority w:val="99"/>
    <w:semiHidden/>
    <w:unhideWhenUsed/>
    <w:rsid w:val="00131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9567">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537353607">
      <w:bodyDiv w:val="1"/>
      <w:marLeft w:val="0"/>
      <w:marRight w:val="0"/>
      <w:marTop w:val="0"/>
      <w:marBottom w:val="0"/>
      <w:divBdr>
        <w:top w:val="none" w:sz="0" w:space="0" w:color="auto"/>
        <w:left w:val="none" w:sz="0" w:space="0" w:color="auto"/>
        <w:bottom w:val="none" w:sz="0" w:space="0" w:color="auto"/>
        <w:right w:val="none" w:sz="0" w:space="0" w:color="auto"/>
      </w:divBdr>
    </w:div>
    <w:div w:id="1629235881">
      <w:bodyDiv w:val="1"/>
      <w:marLeft w:val="0"/>
      <w:marRight w:val="0"/>
      <w:marTop w:val="0"/>
      <w:marBottom w:val="0"/>
      <w:divBdr>
        <w:top w:val="none" w:sz="0" w:space="0" w:color="auto"/>
        <w:left w:val="none" w:sz="0" w:space="0" w:color="auto"/>
        <w:bottom w:val="none" w:sz="0" w:space="0" w:color="auto"/>
        <w:right w:val="none" w:sz="0" w:space="0" w:color="auto"/>
      </w:divBdr>
    </w:div>
    <w:div w:id="19386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emea01.safelinks.protection.outlook.com/?url=https%3A%2F%2Fintranet.undp.org%2Fsites%2FPLW%2Fproject%2F00087532%2FSitePages%2FProjectQAHomeV2.aspx%3Fyear%3D2018&amp;data=02%7C01%7Cloraini.sivo%40undp.org%7Ccdd4a2a4104e4c0adf7d08d65aecf05b%7Cb3e5db5e2944483799f57488ace54319%7C0%7C0%7C636796371013989710&amp;sdata=e2ekzIXnvTnBijEesYlAKaihdaTDGtUOiW2MOBVCrSc%3D&amp;reserved=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mersa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raini.sivo@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2019-03-05T04:00:00+00:00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1118</Value>
      <Value>1</Value>
      <Value>763</Value>
    </TaxCatchAll>
    <c4e2ab2cc9354bbf9064eeb465a566ea xmlns="1ed4137b-41b2-488b-8250-6d369ec27664">
      <Terms xmlns="http://schemas.microsoft.com/office/infopath/2007/PartnerControls"/>
    </c4e2ab2cc9354bbf9064eeb465a566ea>
    <UndpProjectNo xmlns="1ed4137b-41b2-488b-8250-6d369ec27664">00087532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PLW</TermName>
          <TermId xmlns="http://schemas.microsoft.com/office/infopath/2007/PartnerControls">1f32e253-91c5-418f-9333-14e8d2b7af07</TermId>
        </TermInfo>
      </Terms>
    </gc6531b704974d528487414686b72f6f>
    <_dlc_DocId xmlns="f1161f5b-24a3-4c2d-bc81-44cb9325e8ee">ATLASPDC-4-97155</_dlc_DocId>
    <_dlc_DocIdUrl xmlns="f1161f5b-24a3-4c2d-bc81-44cb9325e8ee">
      <Url>https://info.undp.org/docs/pdc/_layouts/DocIdRedir.aspx?ID=ATLASPDC-4-97155</Url>
      <Description>ATLASPDC-4-97155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6371D3-81BA-4DE5-8A3D-1F38EAF33C42}">
  <ds:schemaRefs>
    <ds:schemaRef ds:uri="http://schemas.openxmlformats.org/officeDocument/2006/bibliography"/>
  </ds:schemaRefs>
</ds:datastoreItem>
</file>

<file path=customXml/itemProps2.xml><?xml version="1.0" encoding="utf-8"?>
<ds:datastoreItem xmlns:ds="http://schemas.openxmlformats.org/officeDocument/2006/customXml" ds:itemID="{BE77AB8B-4D22-4D31-919B-30477328CD30}"/>
</file>

<file path=customXml/itemProps3.xml><?xml version="1.0" encoding="utf-8"?>
<ds:datastoreItem xmlns:ds="http://schemas.openxmlformats.org/officeDocument/2006/customXml" ds:itemID="{46903A56-8069-4996-A881-830DCEC3B182}"/>
</file>

<file path=customXml/itemProps4.xml><?xml version="1.0" encoding="utf-8"?>
<ds:datastoreItem xmlns:ds="http://schemas.openxmlformats.org/officeDocument/2006/customXml" ds:itemID="{A194CA0A-CD16-4978-BEFF-F1B1B72F53B9}"/>
</file>

<file path=customXml/itemProps5.xml><?xml version="1.0" encoding="utf-8"?>
<ds:datastoreItem xmlns:ds="http://schemas.openxmlformats.org/officeDocument/2006/customXml" ds:itemID="{B392628F-73A9-4CBC-B26F-EACBADF4CF53}"/>
</file>

<file path=customXml/itemProps6.xml><?xml version="1.0" encoding="utf-8"?>
<ds:datastoreItem xmlns:ds="http://schemas.openxmlformats.org/officeDocument/2006/customXml" ds:itemID="{C1EC79CA-5FF6-449F-80B7-30B4059CCE05}"/>
</file>

<file path=docProps/app.xml><?xml version="1.0" encoding="utf-8"?>
<Properties xmlns="http://schemas.openxmlformats.org/officeDocument/2006/extended-properties" xmlns:vt="http://schemas.openxmlformats.org/officeDocument/2006/docPropsVTypes">
  <Template>Normal</Template>
  <TotalTime>138</TotalTime>
  <Pages>18</Pages>
  <Words>7347</Words>
  <Characters>41880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Palau CB2 PMU</dc:creator>
  <cp:keywords/>
  <dc:description/>
  <cp:lastModifiedBy>Nadezda Liscakova</cp:lastModifiedBy>
  <cp:revision>1</cp:revision>
  <dcterms:created xsi:type="dcterms:W3CDTF">2019-01-15T08:50:00Z</dcterms:created>
  <dcterms:modified xsi:type="dcterms:W3CDTF">2019-01-15T11:37:00Z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1118;#PLW|1f32e253-91c5-418f-9333-14e8d2b7af07</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db4837fa-680c-4d96-b292-846872b7e710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